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igc-20260806.htm"/>
      <w:bookmarkStart w:id="1" w:name="ksbigc20260806"/>
      <w:bookmarkEnd w:id="0"/>
      <w:bookmarkEnd w:id="1"/>
      <w:r>
        <w:rPr/>
        <w:t> </w:t>
      </w:r>
    </w:p>
    <w:p>
      <w:pPr>
        <w:pStyle w:val="TextBody"/>
        <w:pBdr>
          <w:bottom w:val="sing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w:t>
      </w:r>
    </w:p>
    <w:p>
      <w:pPr>
        <w:pStyle w:val="TextBody"/>
        <w:bidi w:val="0"/>
        <w:jc w:val="center"/>
        <w:rPr>
          <w:rFonts w:ascii="Times New Roman" w:hAnsi="Times New Roman"/>
          <w:b/>
          <w:color w:val="000000"/>
          <w:sz w:val="24"/>
        </w:rPr>
      </w:pPr>
      <w:r>
        <w:rPr>
          <w:rFonts w:ascii="Times New Roman" w:hAnsi="Times New Roman"/>
          <w:b/>
          <w:color w:val="000000"/>
          <w:sz w:val="24"/>
        </w:rPr>
        <w:t xml:space="preserve">CURRENT REPORT </w:t>
        <w:br/>
        <w:t>Pursuant to 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jc w:val="center"/>
        <w:rPr>
          <w:rFonts w:ascii="Times New Roman" w:hAnsi="Times New Roman"/>
          <w:sz w:val="20"/>
        </w:rPr>
      </w:pPr>
      <w:r>
        <w:rPr>
          <w:rFonts w:ascii="Times New Roman" w:hAnsi="Times New Roman"/>
          <w:color w:val="000000"/>
          <w:sz w:val="20"/>
        </w:rPr>
        <w:t xml:space="preserve">Date of Report (Date of earliest event reported): </w:t>
      </w:r>
      <w:r>
        <w:rPr>
          <w:rFonts w:ascii="Times New Roman" w:hAnsi="Times New Roman"/>
          <w:b/>
          <w:color w:val="000000"/>
          <w:sz w:val="20"/>
        </w:rPr>
        <w:t>August 6, 2026</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Commerce.com,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charter)</w:t>
      </w:r>
    </w:p>
    <w:tbl>
      <w:tblPr>
        <w:tblW w:w="7735" w:type="dxa"/>
        <w:jc w:val="left"/>
        <w:tblInd w:w="0" w:type="dxa"/>
        <w:tblLayout w:type="fixed"/>
        <w:tblCellMar>
          <w:top w:w="28" w:type="dxa"/>
          <w:left w:w="28" w:type="dxa"/>
          <w:bottom w:w="28" w:type="dxa"/>
          <w:right w:w="28" w:type="dxa"/>
        </w:tblCellMar>
      </w:tblPr>
      <w:tblGrid>
        <w:gridCol w:w="2506"/>
        <w:gridCol w:w="146"/>
        <w:gridCol w:w="2296"/>
        <w:gridCol w:w="146"/>
        <w:gridCol w:w="2641"/>
      </w:tblGrid>
      <w:tr>
        <w:trPr/>
        <w:tc>
          <w:tcPr>
            <w:tcW w:w="2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001-39423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46-2707656</w:t>
            </w:r>
          </w:p>
        </w:tc>
      </w:tr>
      <w:tr>
        <w:trPr/>
        <w:tc>
          <w:tcPr>
            <w:tcW w:w="25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(State or Other Jurisdiction of</w:t>
            </w:r>
          </w:p>
          <w:p>
            <w:pPr>
              <w:pStyle w:val="TableContents"/>
              <w:bidi w:val="0"/>
              <w:spacing w:before="0" w:after="283"/>
              <w:jc w:val="center"/>
              <w:rPr>
                <w:color w:val="000000"/>
              </w:rPr>
            </w:pPr>
            <w:r>
              <w:rPr>
                <w:color w:val="000000"/>
              </w:rPr>
              <w:t> </w:t>
            </w:r>
            <w:r>
              <w:rPr>
                <w:rFonts w:ascii="Times New Roman" w:hAnsi="Times New Roman"/>
                <w:color w:val="000000"/>
                <w:sz w:val="20"/>
              </w:rP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(I.R.S. Employer Identification</w:t>
            </w:r>
          </w:p>
          <w:p>
            <w:pPr>
              <w:pStyle w:val="TableContents"/>
              <w:bidi w:val="0"/>
              <w:spacing w:before="0" w:after="283"/>
              <w:jc w:val="center"/>
              <w:rPr>
                <w:color w:val="000000"/>
              </w:rPr>
            </w:pPr>
            <w:r>
              <w:rPr>
                <w:color w:val="000000"/>
              </w:rPr>
              <w:t> </w:t>
            </w:r>
            <w:r>
              <w:rPr>
                <w:rFonts w:ascii="Times New Roman" w:hAnsi="Times New Roman"/>
                <w:color w:val="000000"/>
                <w:sz w:val="20"/>
              </w:rPr>
              <w:t>Number)</w:t>
            </w:r>
          </w:p>
        </w:tc>
      </w:tr>
    </w:tbl>
    <w:p>
      <w:pPr>
        <w:pStyle w:val="TextBody"/>
        <w:bidi w:val="0"/>
        <w:jc w:val="left"/>
        <w:rPr/>
      </w:pPr>
      <w:r>
        <w:rPr/>
        <w:t> </w:t>
      </w:r>
    </w:p>
    <w:p>
      <w:pPr>
        <w:pStyle w:val="TextBody"/>
        <w:bidi w:val="0"/>
        <w:spacing w:before="0" w:after="15"/>
        <w:jc w:val="center"/>
        <w:rPr>
          <w:rFonts w:ascii="Times New Roman" w:hAnsi="Times New Roman"/>
          <w:b/>
          <w:color w:val="000000"/>
          <w:sz w:val="20"/>
        </w:rPr>
      </w:pPr>
      <w:r>
        <w:rPr>
          <w:rFonts w:ascii="Times New Roman" w:hAnsi="Times New Roman"/>
          <w:b/>
          <w:color w:val="000000"/>
          <w:sz w:val="20"/>
        </w:rPr>
        <w:t>11920 Alterra Parkway</w:t>
        <w:br/>
        <w:t>D11 / Suite 100</w:t>
      </w:r>
    </w:p>
    <w:p>
      <w:pPr>
        <w:pStyle w:val="TextBody"/>
        <w:bidi w:val="0"/>
        <w:spacing w:before="0" w:after="15"/>
        <w:jc w:val="center"/>
        <w:rPr>
          <w:rFonts w:ascii="Times New Roman" w:hAnsi="Times New Roman"/>
          <w:sz w:val="20"/>
        </w:rPr>
      </w:pPr>
      <w:r>
        <w:rPr>
          <w:rFonts w:ascii="Times New Roman" w:hAnsi="Times New Roman"/>
          <w:b/>
          <w:color w:val="000000"/>
          <w:sz w:val="20"/>
        </w:rPr>
        <w:t>8th Floor</w:t>
        <w:br/>
        <w:t>Austin, Texas</w:t>
      </w:r>
      <w:r>
        <w:rPr>
          <w:rFonts w:ascii="Times New Roman" w:hAnsi="Times New Roman"/>
          <w:color w:val="000000"/>
          <w:sz w:val="20"/>
        </w:rPr>
        <w:t xml:space="preserve"> </w:t>
      </w:r>
      <w:r>
        <w:rPr>
          <w:rFonts w:ascii="Times New Roman" w:hAnsi="Times New Roman"/>
          <w:b/>
          <w:color w:val="000000"/>
          <w:sz w:val="20"/>
        </w:rPr>
        <w:t>78758</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 including zip code)</w:t>
      </w:r>
    </w:p>
    <w:p>
      <w:pPr>
        <w:pStyle w:val="TextBody"/>
        <w:bidi w:val="0"/>
        <w:jc w:val="center"/>
        <w:rPr>
          <w:rFonts w:ascii="Times New Roman" w:hAnsi="Times New Roman"/>
          <w:sz w:val="20"/>
        </w:rPr>
      </w:pPr>
      <w:r>
        <w:rPr>
          <w:rFonts w:ascii="Times New Roman" w:hAnsi="Times New Roman"/>
          <w:b/>
          <w:color w:val="000000"/>
          <w:sz w:val="20"/>
        </w:rPr>
        <w:t>(512)</w:t>
      </w:r>
      <w:r>
        <w:rPr>
          <w:rFonts w:ascii="Times New Roman" w:hAnsi="Times New Roman"/>
          <w:color w:val="000000"/>
          <w:sz w:val="20"/>
        </w:rPr>
        <w:t xml:space="preserve"> </w:t>
      </w:r>
      <w:r>
        <w:rPr>
          <w:rFonts w:ascii="Times New Roman" w:hAnsi="Times New Roman"/>
          <w:b/>
          <w:color w:val="000000"/>
          <w:sz w:val="20"/>
        </w:rPr>
        <w:t>865-4500</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color w:val="000000"/>
          <w:sz w:val="20"/>
        </w:rPr>
      </w:pPr>
      <w:r>
        <w:rPr>
          <w:rFonts w:ascii="Times New Roman" w:hAnsi="Times New Roman"/>
          <w:color w:val="000000"/>
          <w:sz w:val="20"/>
        </w:rPr>
        <w:t>(Former name or former address, if changed since last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color w:val="000000"/>
        </w:rPr>
        <w:t>□</w:t>
      </w:r>
      <w:r>
        <w:rPr>
          <w:rFonts w:ascii="Times New Roman" w:hAnsi="Times New Roman"/>
          <w:color w:val="000000"/>
          <w:sz w:val="20"/>
        </w:rPr>
        <w:t>Written communications pursuant to Rule 425 under the Securities Act (17 CFR 230.425)</w:t>
      </w:r>
    </w:p>
    <w:p>
      <w:pPr>
        <w:pStyle w:val="TextBody"/>
        <w:bidi w:val="0"/>
        <w:jc w:val="left"/>
        <w:rPr/>
      </w:pPr>
      <w:r>
        <w:rPr>
          <w:color w:val="000000"/>
        </w:rPr>
        <w:t>□</w:t>
      </w:r>
      <w:r>
        <w:rPr>
          <w:rFonts w:ascii="Times New Roman" w:hAnsi="Times New Roman"/>
          <w:color w:val="000000"/>
          <w:sz w:val="20"/>
        </w:rPr>
        <w:t>Soliciting material pursuant to Rule 14a-12 under the Exchange Act (17 CFR 240.14a-12)</w:t>
      </w:r>
    </w:p>
    <w:p>
      <w:pPr>
        <w:pStyle w:val="TextBody"/>
        <w:bidi w:val="0"/>
        <w:jc w:val="left"/>
        <w:rPr/>
      </w:pPr>
      <w:r>
        <w:rPr>
          <w:color w:val="000000"/>
        </w:rPr>
        <w:t>□</w:t>
      </w:r>
      <w:r>
        <w:rPr>
          <w:rFonts w:ascii="Times New Roman" w:hAnsi="Times New Roman"/>
          <w:color w:val="000000"/>
          <w:sz w:val="20"/>
        </w:rPr>
        <w:t>Pre-commencement communications pursuant to Rule 14d-2(b) under the Exchange Act (17 CFR 240.14d-2(b))</w:t>
      </w:r>
    </w:p>
    <w:p>
      <w:pPr>
        <w:pStyle w:val="TextBody"/>
        <w:bidi w:val="0"/>
        <w:jc w:val="left"/>
        <w:rPr/>
      </w:pPr>
      <w:r>
        <w:rPr>
          <w:color w:val="000000"/>
        </w:rPr>
        <w:t>□</w:t>
      </w:r>
      <w:r>
        <w:rPr>
          <w:rFonts w:ascii="Times New Roman" w:hAnsi="Times New Roman"/>
          <w:color w:val="000000"/>
          <w:sz w:val="20"/>
        </w:rPr>
        <w:t>Pre-commencement communications pursuant to Rule 13e-4(c) under the Exchange Act (17 CFR 240.13e-4(c))</w:t>
      </w:r>
    </w:p>
    <w:p>
      <w:pPr>
        <w:pStyle w:val="TextBody"/>
        <w:bidi w:val="0"/>
        <w:spacing w:before="12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5514"/>
        <w:gridCol w:w="1474"/>
        <w:gridCol w:w="3217"/>
      </w:tblGrid>
      <w:tr>
        <w:trPr/>
        <w:tc>
          <w:tcPr>
            <w:tcW w:w="551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r>
      <w:tr>
        <w:trPr/>
        <w:tc>
          <w:tcPr>
            <w:tcW w:w="551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Title of each class</w:t>
            </w:r>
          </w:p>
        </w:tc>
        <w:tc>
          <w:tcPr>
            <w:tcW w:w="147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Trading Symbol(s)</w:t>
            </w:r>
          </w:p>
        </w:tc>
        <w:tc>
          <w:tcPr>
            <w:tcW w:w="321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551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44"/>
              <w:jc w:val="center"/>
              <w:rPr>
                <w:rFonts w:ascii="Times New Roman" w:hAnsi="Times New Roman"/>
                <w:sz w:val="20"/>
              </w:rPr>
            </w:pPr>
            <w:r>
              <w:rPr>
                <w:rFonts w:ascii="Times New Roman" w:hAnsi="Times New Roman"/>
                <w:b/>
                <w:color w:val="000000"/>
                <w:sz w:val="20"/>
              </w:rPr>
              <w:t>Series 1 Common Stock, $ 0.0001 par value per share</w:t>
            </w:r>
            <w:r>
              <w:rPr>
                <w:rFonts w:ascii="Times New Roman" w:hAnsi="Times New Roman"/>
                <w:color w:val="000000"/>
                <w:sz w:val="20"/>
              </w:rPr>
              <w:t xml:space="preserve"> </w:t>
            </w:r>
          </w:p>
        </w:tc>
        <w:tc>
          <w:tcPr>
            <w:tcW w:w="14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CMRC</w:t>
            </w:r>
          </w:p>
        </w:tc>
        <w:tc>
          <w:tcPr>
            <w:tcW w:w="321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The Nasdaq Global Market</w:t>
            </w:r>
          </w:p>
        </w:tc>
      </w:tr>
      <w:tr>
        <w:trPr/>
        <w:tc>
          <w:tcPr>
            <w:tcW w:w="551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Series A Junior Participating Preferred Stock, par value $0.0001 per share</w:t>
            </w:r>
          </w:p>
        </w:tc>
        <w:tc>
          <w:tcPr>
            <w:tcW w:w="14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N/A</w:t>
            </w:r>
          </w:p>
        </w:tc>
        <w:tc>
          <w:tcPr>
            <w:tcW w:w="321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Emerging growth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6, 2026, Commerce.com, Inc. (the “Company”) issued a press release announcing financial results as of and for the three and six months ended June 30, 2026. The press release contains forward-looking statements regarding the Company, and includes cautionary statements identifying important factors that could cause actual results to differ materially from those anticipated. A copy of the press release issued August 6, 2026 is furnished herewith as Exhibit 99.1.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in this Item 2.02, including Exhibit 99.1, is being furnished and shall not be deemed filed for purposes of Section 18 of the Securities Exchange Act of 1934 or otherwise subject to the liability of that Section, nor shall such information be deemed to be incorporated by reference in any registration statement or other document filed under the Securities Act of 1933 or the Securities Exchange Act of 1934, except as otherwise stated in such filing.</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821" w:type="dxa"/>
        <w:jc w:val="left"/>
        <w:tblInd w:w="0" w:type="dxa"/>
        <w:tblLayout w:type="fixed"/>
        <w:tblCellMar>
          <w:top w:w="28" w:type="dxa"/>
          <w:left w:w="28" w:type="dxa"/>
          <w:bottom w:w="28" w:type="dxa"/>
          <w:right w:w="28" w:type="dxa"/>
        </w:tblCellMar>
      </w:tblPr>
      <w:tblGrid>
        <w:gridCol w:w="1081"/>
        <w:gridCol w:w="109"/>
        <w:gridCol w:w="6631"/>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bottom w:val="single" w:sz="8" w:space="0" w:color="000000"/>
            </w:tcBorders>
            <w:tcMar>
              <w:top w:w="0" w:type="dxa"/>
              <w:left w:w="0" w:type="dxa"/>
              <w:bottom w:w="4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bottom w:val="single" w:sz="8" w:space="0" w:color="000000"/>
            </w:tcBorders>
            <w:tcMar>
              <w:top w:w="0" w:type="dxa"/>
              <w:left w:w="0" w:type="dxa"/>
              <w:bottom w:w="40" w:type="dxa"/>
              <w:right w:w="0" w:type="dxa"/>
            </w:tcMar>
            <w:vAlign w:val="center"/>
          </w:tcPr>
          <w:p>
            <w:pPr>
              <w:pStyle w:val="TableContents"/>
              <w:bidi w:val="0"/>
              <w:spacing w:before="0" w:after="283"/>
              <w:jc w:val="left"/>
              <w:rPr>
                <w:sz w:val="4"/>
                <w:szCs w:val="4"/>
              </w:rPr>
            </w:pPr>
            <w:r>
              <w:rPr>
                <w:sz w:val="4"/>
                <w:szCs w:val="4"/>
              </w:rPr>
            </w:r>
          </w:p>
        </w:tc>
        <w:tc>
          <w:tcPr>
            <w:tcW w:w="6631" w:type="dxa"/>
            <w:tcBorders>
              <w:bottom w:val="single" w:sz="8" w:space="0" w:color="000000"/>
            </w:tcBorders>
            <w:tcMar>
              <w:top w:w="0" w:type="dxa"/>
              <w:left w:w="0" w:type="dxa"/>
              <w:bottom w:w="4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1" w:type="dxa"/>
            <w:tcBorders/>
            <w:tcMar>
              <w:top w:w="0" w:type="dxa"/>
              <w:left w:w="0" w:type="dxa"/>
              <w:bottom w:w="0" w:type="dxa"/>
              <w:right w:w="0" w:type="dxa"/>
            </w:tcMar>
            <w:vAlign w:val="center"/>
          </w:tcPr>
          <w:p>
            <w:pPr>
              <w:pStyle w:val="TableContents"/>
              <w:bidi w:val="0"/>
              <w:spacing w:before="0" w:after="283"/>
              <w:jc w:val="left"/>
              <w:rPr/>
            </w:pPr>
            <w:hyperlink w:anchor="bigc-ex99_1.htm">
              <w:r>
                <w:rPr>
                  <w:rStyle w:val="InternetLink"/>
                  <w:rFonts w:ascii="Times New Roman" w:hAnsi="Times New Roman"/>
                  <w:color w:val="0000FF"/>
                  <w:sz w:val="20"/>
                  <w:u w:val="single"/>
                </w:rPr>
                <w:t>Press Release issued by Commerce.com, Inc. dated August 6,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6527" w:type="dxa"/>
        <w:jc w:val="left"/>
        <w:tblInd w:w="0" w:type="dxa"/>
        <w:tblLayout w:type="fixed"/>
        <w:tblCellMar>
          <w:top w:w="28" w:type="dxa"/>
          <w:left w:w="28" w:type="dxa"/>
          <w:bottom w:w="28" w:type="dxa"/>
          <w:right w:w="28" w:type="dxa"/>
        </w:tblCellMar>
      </w:tblPr>
      <w:tblGrid>
        <w:gridCol w:w="2678"/>
        <w:gridCol w:w="1238"/>
        <w:gridCol w:w="2611"/>
      </w:tblGrid>
      <w:tr>
        <w:trPr/>
        <w:tc>
          <w:tcPr>
            <w:tcW w:w="2678"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2678" w:type="dxa"/>
            <w:tcBorders/>
            <w:tcMar>
              <w:top w:w="0" w:type="dxa"/>
              <w:left w:w="0" w:type="dxa"/>
              <w:bottom w:w="0" w:type="dxa"/>
              <w:right w:w="0" w:type="dxa"/>
            </w:tcMar>
            <w:vAlign w:val="center"/>
          </w:tcPr>
          <w:p>
            <w:pPr>
              <w:pStyle w:val="TableContents"/>
              <w:bidi w:val="0"/>
              <w:spacing w:before="0" w:after="283"/>
              <w:ind w:left="0" w:right="0" w:firstLine="1804"/>
              <w:jc w:val="left"/>
              <w:rPr/>
            </w:pPr>
            <w:r>
              <w:rPr/>
              <w:t> </w:t>
            </w:r>
          </w:p>
        </w:tc>
        <w:tc>
          <w:tcPr>
            <w:tcW w:w="3849" w:type="dxa"/>
            <w:gridSpan w:val="2"/>
            <w:tcBorders/>
            <w:tcMar>
              <w:top w:w="0" w:type="dxa"/>
              <w:left w:w="0" w:type="dxa"/>
              <w:bottom w:w="0" w:type="dxa"/>
              <w:right w:w="0" w:type="dxa"/>
            </w:tcMar>
            <w:vAlign w:val="center"/>
          </w:tcPr>
          <w:p>
            <w:pPr>
              <w:pStyle w:val="TableContents"/>
              <w:bidi w:val="0"/>
              <w:spacing w:before="0" w:after="283"/>
              <w:ind w:left="0" w:right="0" w:firstLine="1804"/>
              <w:jc w:val="left"/>
              <w:rPr>
                <w:rFonts w:ascii="Times New Roman" w:hAnsi="Times New Roman"/>
                <w:color w:val="000000"/>
                <w:sz w:val="20"/>
              </w:rPr>
            </w:pPr>
            <w:r>
              <w:rPr>
                <w:rFonts w:ascii="Times New Roman" w:hAnsi="Times New Roman"/>
                <w:color w:val="000000"/>
                <w:sz w:val="20"/>
              </w:rPr>
              <w:t>Commerce.com, Inc.</w:t>
            </w:r>
          </w:p>
        </w:tc>
      </w:tr>
      <w:tr>
        <w:trPr/>
        <w:tc>
          <w:tcPr>
            <w:tcW w:w="26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8" w:type="dxa"/>
            <w:tcBorders/>
            <w:tcMar>
              <w:top w:w="0" w:type="dxa"/>
              <w:left w:w="0" w:type="dxa"/>
              <w:bottom w:w="0" w:type="dxa"/>
              <w:right w:w="0" w:type="dxa"/>
            </w:tcMar>
            <w:vAlign w:val="center"/>
          </w:tcPr>
          <w:p>
            <w:pPr>
              <w:pStyle w:val="TableContents"/>
              <w:bidi w:val="0"/>
              <w:spacing w:before="0" w:after="283"/>
              <w:ind w:left="0" w:right="0" w:firstLine="832"/>
              <w:jc w:val="left"/>
              <w:rPr>
                <w:rFonts w:ascii="Times New Roman" w:hAnsi="Times New Roman"/>
                <w:color w:val="000000"/>
                <w:sz w:val="20"/>
              </w:rPr>
            </w:pPr>
            <w:r>
              <w:rPr>
                <w:rFonts w:ascii="Times New Roman" w:hAnsi="Times New Roman"/>
                <w:color w:val="000000"/>
                <w:sz w:val="20"/>
              </w:rPr>
              <w:t>Date: August 6, 2026</w:t>
            </w:r>
          </w:p>
        </w:tc>
        <w:tc>
          <w:tcPr>
            <w:tcW w:w="1238" w:type="dxa"/>
            <w:tcBorders/>
            <w:tcMar>
              <w:top w:w="0" w:type="dxa"/>
              <w:left w:w="0" w:type="dxa"/>
              <w:bottom w:w="0" w:type="dxa"/>
              <w:right w:w="0" w:type="dxa"/>
            </w:tcMar>
            <w:vAlign w:val="center"/>
          </w:tcPr>
          <w:p>
            <w:pPr>
              <w:pStyle w:val="TableContents"/>
              <w:bidi w:val="0"/>
              <w:spacing w:before="0" w:after="283"/>
              <w:ind w:left="0" w:right="0" w:firstLine="832"/>
              <w:jc w:val="left"/>
              <w:rPr>
                <w:rFonts w:ascii="Times New Roman" w:hAnsi="Times New Roman"/>
                <w:color w:val="000000"/>
                <w:sz w:val="20"/>
              </w:rPr>
            </w:pPr>
            <w:r>
              <w:rPr>
                <w:rFonts w:ascii="Times New Roman" w:hAnsi="Times New Roman"/>
                <w:color w:val="000000"/>
                <w:sz w:val="20"/>
              </w:rPr>
              <w:t>By:</w:t>
            </w:r>
          </w:p>
        </w:tc>
        <w:tc>
          <w:tcPr>
            <w:tcW w:w="26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Hubert Ban</w:t>
            </w:r>
          </w:p>
        </w:tc>
      </w:tr>
      <w:tr>
        <w:trPr/>
        <w:tc>
          <w:tcPr>
            <w:tcW w:w="2678" w:type="dxa"/>
            <w:tcBorders/>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Hubert Ban</w:t>
            </w:r>
          </w:p>
        </w:tc>
      </w:tr>
      <w:tr>
        <w:trPr/>
        <w:tc>
          <w:tcPr>
            <w:tcW w:w="2678" w:type="dxa"/>
            <w:tcBorders/>
            <w:tcMar>
              <w:top w:w="0" w:type="dxa"/>
              <w:left w:w="0" w:type="dxa"/>
              <w:bottom w:w="0" w:type="dxa"/>
              <w:right w:w="0" w:type="dxa"/>
            </w:tcMar>
            <w:vAlign w:val="center"/>
          </w:tcPr>
          <w:p>
            <w:pPr>
              <w:pStyle w:val="TableContents"/>
              <w:bidi w:val="0"/>
              <w:spacing w:before="0" w:after="283"/>
              <w:jc w:val="left"/>
              <w:rPr/>
            </w:pPr>
            <w:r>
              <w:rPr/>
              <w:t> </w:t>
            </w:r>
          </w:p>
        </w:tc>
        <w:tc>
          <w:tcPr>
            <w:tcW w:w="1238" w:type="dxa"/>
            <w:tcBorders/>
            <w:tcMar>
              <w:top w:w="0" w:type="dxa"/>
              <w:left w:w="0" w:type="dxa"/>
              <w:bottom w:w="0" w:type="dxa"/>
              <w:right w:w="0" w:type="dxa"/>
            </w:tcMar>
            <w:vAlign w:val="center"/>
          </w:tcPr>
          <w:p>
            <w:pPr>
              <w:pStyle w:val="TableContents"/>
              <w:bidi w:val="0"/>
              <w:spacing w:before="0" w:after="283"/>
              <w:jc w:val="left"/>
              <w:rPr/>
            </w:pPr>
            <w:r>
              <w:rPr/>
              <w:t> </w:t>
            </w:r>
          </w:p>
        </w:tc>
        <w:tc>
          <w:tcPr>
            <w:tcW w:w="26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Senior Vice President</w:t>
            </w:r>
          </w:p>
          <w:p>
            <w:pPr>
              <w:pStyle w:val="TableContents"/>
              <w:bidi w:val="0"/>
              <w:jc w:val="left"/>
              <w:rPr>
                <w:rFonts w:ascii="Times New Roman" w:hAnsi="Times New Roman"/>
                <w:color w:val="000000"/>
                <w:sz w:val="20"/>
              </w:rPr>
            </w:pPr>
            <w:r>
              <w:rPr>
                <w:rFonts w:ascii="Times New Roman" w:hAnsi="Times New Roman"/>
                <w:color w:val="000000"/>
                <w:sz w:val="20"/>
              </w:rPr>
              <w:t>(Principal Accounting Officer)</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bigc-ex99_1.htm"/>
      <w:bookmarkStart w:id="3" w:name="ksbigcex99_1"/>
      <w:bookmarkEnd w:id="2"/>
      <w:bookmarkEnd w:id="3"/>
      <w:r>
        <w:rPr>
          <w:rFonts w:ascii="Times New Roman" w:hAnsi="Times New Roman"/>
          <w:b/>
          <w:color w:val="000000"/>
          <w:sz w:val="20"/>
        </w:rPr>
        <w:t>Exhibit 99.1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Commerce Announces Second Quarter 2026 Financial Results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Total ARR of $360.5 Million, an Increase of 2% Versus Prior Year. GAAP Net Income of $1.1 Million Versus Net Loss in Prior Year Period. Operating Cash Flow of $5.1 Million.</w:t>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b/>
          <w:color w:val="000000"/>
          <w:sz w:val="20"/>
        </w:rPr>
        <w:t xml:space="preserve">AUSTIN, Texas – August 6, 2026 – </w:t>
      </w:r>
      <w:r>
        <w:rPr>
          <w:rFonts w:ascii="Times New Roman" w:hAnsi="Times New Roman"/>
          <w:color w:val="000000"/>
          <w:sz w:val="20"/>
        </w:rPr>
        <w:t>Commerce.com, Inc. (Nasdaq: CMRC), a data-centric provider of an open, AI-driven commerce ecosystem that enables businesses to unlock data, power intelligent discovery and deliver personalized experiences at scale, today announced financial results for its second quarter ended June 30, 2026.</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Our second quarter results reflect another period of disciplined execution, with revenue of $84.5 million, 14% GMV growth, positive GAAP net income for the second consecutive quarter, and a third consecutive quarter of sequential improvement in net revenue retention,” said Travis Hess, CEO of Commerce. “Just as importantly, we're making deliberate decisions to strengthen the quality and durability of our business by investing in product intelligence, AI-driven commerce, and the open architecture merchants need as commerce becomes increasingly distributed. We believe those disciplined trade-offs position Commerce to deliver stronger merchant outcomes and create long-term value for both our customers and shareholders."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Second Quarter Financial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revenue was $84.5 million, up 0.1% compared to the three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annual revenue run-rate (“ARR”) as of June 30, 2026 was $360.5 million, up 2% compared to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Subscription solutions revenue was $63.1 million, down 1% compared to the three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Merchandise Volume (GMV) was $8.8 billion, up 14% compared to the three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Revenue Retention (NRR) was 95.8%, compared to 95.4% in the three months ended March 31, 2026 and 94.5% in the three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GAAP gross margin was 75%, compared to 79% in the three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gross margin was 76%, compared to 80% in the three months ended June 30,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Other Key Business Metrics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in the United States declined by 1% compared to the three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in EMEA grew by 12% and revenue in APAC declined by 4% compared to the three months ended June 30, 2025.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Income (Loss) from Operations and Non-GAAP Operating Income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GAAP income from operations was $2.7 million, compared to a loss of ($6.8) million in the three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operating income was $8.1 million, compared to $4.8 million in the three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operating margin was 9.6%, compared to 5.7% in the three months ended June 30, 2025.</w:t>
      </w:r>
    </w:p>
    <w:p>
      <w:pPr>
        <w:pStyle w:val="TextBody"/>
        <w:bidi w:val="0"/>
        <w:spacing w:before="120" w:after="283"/>
        <w:jc w:val="left"/>
        <w:rPr/>
      </w:pPr>
      <w:r>
        <w:rPr/>
        <w:t> </w:t>
      </w:r>
    </w:p>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rFonts w:ascii="Times New Roman" w:hAnsi="Times New Roman"/>
          <w:b/>
          <w:color w:val="000000"/>
          <w:sz w:val="20"/>
        </w:rPr>
      </w:pPr>
      <w:r>
        <w:rPr>
          <w:rFonts w:ascii="Times New Roman" w:hAnsi="Times New Roman"/>
          <w:b/>
          <w:color w:val="000000"/>
          <w:sz w:val="20"/>
        </w:rPr>
        <w:t>GAAP Net Income (Loss), Non-GAAP Net Income and Earnings Per Share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GAAP net income was $1.1 million, compared to a net loss of ($8.4) million in the three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net income was $6.5 million or 8% of revenue, compared to $3.2 million or 4% of revenue in the three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GAAP basic net income per share was $0.01 based on 82.6 million weighted average shares outstanding, compared to ($0.10) based on 80.1 million weighted average shares outstanding in the three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GAAP diluted net income per share was $0.01 based on 82.8 million weighted average shares outstanding compared to ($0.10) based on 80.1 million weighted average shares outstanding for the three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basic net income per share was $0.08 based on 82.6 million shares of weighted average shares outstanding, compared to $0.04 based on 80.1 million shares of weighted average shares outstanding in the three months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diluted net income per share was $0.08 based on 82.8 million shares of dilutive shares, compared to $0.04 based on 81.0 million dilutive shares in the three months ended June 30, 2025.</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Adjusted EBITDA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was $9.7 million, compared to $5.7 million in the three months ended June 30, 2025.</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cash equivalents, restricted cash, and marketable securities totaled $157.5 million as of June 30,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2026, net cash provided by operating activities was $5.1 million, compared to $13.6 million provided by operating activities for the same period in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Free cash flow of $0.1 million in the three months ended June 30, 2026, compared to $11.9 million in the three months ended June 30, 2025.</w:t>
      </w:r>
    </w:p>
    <w:p>
      <w:pPr>
        <w:pStyle w:val="TextBody"/>
        <w:bidi w:val="0"/>
        <w:spacing w:before="120" w:after="283"/>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Business Highlights: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Corporate Highlights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Commerce announced that merchants, including Dell, are now syndicating catalog data to key agentic discovery channels including OpenAI and Google Gemini, using Feedonomics Agentic Catalog Exports (ACE), a new enterprise service designed to help merchants make their product catalogs discoverable across emerging AI-powered and agent-driven shopping environments.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the Company announced a broad set of product innovations during its Commerce Live 2026 customer and partner event. The product enhancements span core platform advancements, new growth capabilities and emerging agentic commerce experiences, including: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Multi-language capabilities: Expanded global selling support with translation APIs, localized URLs and sitemaps, and native translation management tools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Advanced promotions management: New features including promotion banners, multi-coupon stacking, bulk coupon generation and shipping method discounts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Improved catalog flexibility: Removal of unique product naming requirements to simplify catalog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Advanced catalog filtering and saved views: New precision filtering by category, inventory and more lets merchants instantly surface the products that need attention and save those views for faster access every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Faster checkout performance: Checkout load times reduced by one full second, delivering a measurable increase in conversion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Backorder support: New controls enabling merchants to continue selling out-of-stock items with SKU-level limits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the Company announced that TrustRadius recognized BigCommerce with a 2026 Top Rated Award based on customer reviews and highlighting BigCommerce as a top player in the ecommerce software category.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the Company announced BigCommerce has scored 24 out of 24 total medals in the 2026 Paradigm B2B Combines for Digital Commerce Solutions (Enterprise and Midmarket Editions) for the fourth consecutive year. BigCommerce advanced its rankings to six gold and six silver medals in Enterprise and again achieved more Gold medals in Midmarket than other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Commerce and WP Engine, a global web enablement company providing products and solutions for websites built on WordPress, announced a strategic partnership to help high-growth, mid-market brands compete in the era of content-driven commerce.</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Customer Highlights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Flaircraft,</w:t>
      </w:r>
      <w:r>
        <w:rPr>
          <w:color w:val="000000"/>
        </w:rPr>
        <w:t xml:space="preserve"> </w:t>
      </w:r>
      <w:r>
        <w:rPr>
          <w:rFonts w:ascii="Times New Roman" w:hAnsi="Times New Roman"/>
          <w:color w:val="000000"/>
          <w:sz w:val="20"/>
        </w:rPr>
        <w:t>an Irish jewelry brand selling primarily into the U.S. market, launched a new B2B storefront, with support from Immersify for front-end build and development. They are utilising B2B Edition functionality and price lists to support U.S. and EMEA-based trade customers and a masquerade-based sales-rep ordering workflow, as well as integration with Zoho ERP via SKUPlugs.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SolarEdge</w:t>
      </w:r>
      <w:r>
        <w:rPr>
          <w:rFonts w:ascii="Times New Roman" w:hAnsi="Times New Roman"/>
          <w:color w:val="000000"/>
          <w:sz w:val="20"/>
        </w:rPr>
        <w:t xml:space="preserve">, a global leader in solar energy technology and inverter solutions, launched a new B2C storefront, delivered by SolarEdge's in-house team with support from BigCommerce's professional services. They implemented a custom-built Stripe Embedded Checkout integration for payments and Avalara AvaTax for automated tax calculation.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Toni Maticevski</w:t>
      </w:r>
      <w:r>
        <w:rPr>
          <w:rFonts w:ascii="Times New Roman" w:hAnsi="Times New Roman"/>
          <w:color w:val="000000"/>
          <w:sz w:val="20"/>
        </w:rPr>
        <w:t xml:space="preserve">, an iconic Australian luxury fashion brand known for its sculptural, avant-garde designs and strong presence in both local and international markets, migrated to BigCommerce on a headless Catalyst storefront, delivered by agency Web Force 5 and delivering a premium digital experience to match their elevated brand positioning.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Monster Notebook</w:t>
      </w:r>
      <w:r>
        <w:rPr>
          <w:rFonts w:ascii="Times New Roman" w:hAnsi="Times New Roman"/>
          <w:color w:val="000000"/>
          <w:sz w:val="20"/>
        </w:rPr>
        <w:t xml:space="preserve">, a Turkish gaming laptop and desktop retailer, launched a new German B2C, headless storefront, delivered primarily by Monster Notebook's in-house development team with BigCommerce professional services support. </w:t>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Q3 and 2026 Financial Outlook: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third quarter of 2026, we currently expect: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revenue between $82.5 million and $85.5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operating income between $3.3 million and $5.3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full year 2026, we currently expect: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revenue between $336.5 million and $344.5 million.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Non-GAAP operating income between $28.0 million and $34.0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third quarter and 2026 financial outlook is based on a number of assumptions that are subject to change and many of which are outside our control. If actual results vary from these assumptions, our expectations may change. There can be no assurance that we will achieve these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do not provide guidance for GAAP income (loss) from operations, the most directly comparable GAAP measure to Non-GAAP operating income, and similarly cannot provide a reconciliation between our forecasted Non-GAAP operating income and these comparable GAAP measures without unreasonable effort due to the unavailability of reliable estimates for certain items. We also do not provide guidance on Cash Flows from Operating Activities. These items are not within our control and may vary greatly between periods and could significantly impact future financial results.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Conference Call Information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financial results and business highlights will be discussed on a conference call and webcast scheduled at 7:00 a.m. CT (8:00 a.m. ET) on Thursday, August 6, 2026. The conference call can be accessed by dialing (800) 715-9871 from the United States and Canada or (646) 307-1963 internationally and requesting to join the “Commerce conference call.” The live webcast of the conference call can be accessed from Commerce’s investor relations website at </w:t>
      </w:r>
      <w:r>
        <w:rPr>
          <w:rFonts w:ascii="Times New Roman" w:hAnsi="Times New Roman"/>
          <w:sz w:val="20"/>
        </w:rPr>
        <w:t>http://investors.commerce.com</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20"/>
        </w:rPr>
        <w:br/>
        <w:t xml:space="preserve">Following the completion of the call through 11:59 p.m. ET on Thursday, August 13, 2026, a telephone replay will be available by dialing (855) 669-9658 from the United States, or (412) 317-0088 internationally with conference ID 9695111. A webcast replay will also be available at </w:t>
      </w:r>
      <w:r>
        <w:rPr>
          <w:rFonts w:ascii="Times New Roman" w:hAnsi="Times New Roman"/>
          <w:sz w:val="20"/>
        </w:rPr>
        <w:t>http://investors.commerce.com</w:t>
      </w:r>
      <w:r>
        <w:rPr>
          <w:rFonts w:ascii="Times New Roman" w:hAnsi="Times New Roman"/>
          <w:color w:val="000000"/>
          <w:sz w:val="20"/>
        </w:rPr>
        <w:t xml:space="preserve"> for 12 months. </w:t>
      </w:r>
    </w:p>
    <w:p>
      <w:pPr>
        <w:pStyle w:val="TextBody"/>
        <w:bidi w:val="0"/>
        <w:jc w:val="left"/>
        <w:rPr>
          <w:rFonts w:ascii="Times New Roman" w:hAnsi="Times New Roman"/>
          <w:b/>
          <w:color w:val="000000"/>
          <w:sz w:val="20"/>
        </w:rPr>
      </w:pPr>
      <w:r>
        <w:rPr>
          <w:rFonts w:ascii="Times New Roman" w:hAnsi="Times New Roman"/>
          <w:b/>
          <w:color w:val="000000"/>
          <w:sz w:val="20"/>
        </w:rPr>
        <w:t>About Commerce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sz w:val="20"/>
        </w:rPr>
        <w:t>Commerce</w:t>
      </w:r>
      <w:r>
        <w:rPr>
          <w:rFonts w:ascii="Times New Roman" w:hAnsi="Times New Roman"/>
          <w:color w:val="1D1C1D"/>
          <w:sz w:val="20"/>
        </w:rPr>
        <w:t xml:space="preserve"> (Nasdaq: CMRC) empowers businesses to innovate, grow, and thrive by providing an open, AI-driven commerce ecosystem. As the parent company of </w:t>
      </w:r>
      <w:r>
        <w:rPr>
          <w:rFonts w:ascii="Times New Roman" w:hAnsi="Times New Roman"/>
          <w:sz w:val="20"/>
        </w:rPr>
        <w:t>BigCommerce</w:t>
      </w:r>
      <w:r>
        <w:rPr>
          <w:rFonts w:ascii="Times New Roman" w:hAnsi="Times New Roman"/>
          <w:color w:val="1D1C1D"/>
          <w:sz w:val="20"/>
        </w:rPr>
        <w:t xml:space="preserve">, </w:t>
      </w:r>
      <w:r>
        <w:rPr>
          <w:rFonts w:ascii="Times New Roman" w:hAnsi="Times New Roman"/>
          <w:sz w:val="20"/>
        </w:rPr>
        <w:t>Feedonomics</w:t>
      </w:r>
      <w:r>
        <w:rPr>
          <w:rFonts w:ascii="Times New Roman" w:hAnsi="Times New Roman"/>
          <w:color w:val="1D1C1D"/>
          <w:sz w:val="20"/>
        </w:rPr>
        <w:t xml:space="preserve">, and </w:t>
      </w:r>
      <w:r>
        <w:rPr>
          <w:rFonts w:ascii="Times New Roman" w:hAnsi="Times New Roman"/>
          <w:sz w:val="20"/>
        </w:rPr>
        <w:t>Makeswift</w:t>
      </w:r>
      <w:r>
        <w:rPr>
          <w:rFonts w:ascii="Times New Roman" w:hAnsi="Times New Roman"/>
          <w:color w:val="1D1C1D"/>
          <w:sz w:val="20"/>
        </w:rPr>
        <w:t xml:space="preserve">, Commerce connects the tools and systems that power growth, enabling businesses to unlock the full potential of their data, deliver seamless and personalized experiences across every channel, and adapt swiftly to an ever-changing market. Trusted by leading businesses like Coldwater Creek, Cole Haan, Dell, Harvey Nichols, King Arthur Baking Co., Mizuno, Pacsun, Perry Ellis, Skechers, SportsShoes and Uplift Desk, Commerce delivers the storefront control, optimized data, and AI-ready tools businesses need to grow, serve diverse buyers, and operate with confidence in an increasingly intelligent, multi-surface world. For more information, visit </w:t>
      </w:r>
      <w:r>
        <w:rPr>
          <w:rFonts w:ascii="Times New Roman" w:hAnsi="Times New Roman"/>
          <w:sz w:val="20"/>
        </w:rPr>
        <w:t xml:space="preserve">www.commerce.com </w:t>
      </w:r>
      <w:r>
        <w:rPr>
          <w:rFonts w:ascii="Times New Roman" w:hAnsi="Times New Roman"/>
          <w:color w:val="000000"/>
          <w:sz w:val="20"/>
        </w:rPr>
        <w:t xml:space="preserve">or follow us on </w:t>
      </w:r>
      <w:r>
        <w:rPr>
          <w:rFonts w:ascii="Times New Roman" w:hAnsi="Times New Roman"/>
          <w:sz w:val="20"/>
        </w:rPr>
        <w:t>X</w:t>
      </w:r>
      <w:r>
        <w:rPr>
          <w:rFonts w:ascii="Times New Roman" w:hAnsi="Times New Roman"/>
          <w:color w:val="000000"/>
          <w:sz w:val="20"/>
        </w:rPr>
        <w:t xml:space="preserve"> and </w:t>
      </w:r>
      <w:r>
        <w:rPr>
          <w:rFonts w:ascii="Times New Roman" w:hAnsi="Times New Roman"/>
          <w:sz w:val="20"/>
        </w:rPr>
        <w:t>LinkedIn</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rFonts w:ascii="Times New Roman" w:hAnsi="Times New Roman"/>
          <w:color w:val="000000"/>
          <w:sz w:val="20"/>
        </w:rPr>
      </w:pPr>
      <w:r>
        <w:rPr>
          <w:rFonts w:ascii="Times New Roman" w:hAnsi="Times New Roman"/>
          <w:color w:val="000000"/>
          <w:sz w:val="20"/>
        </w:rPr>
        <w:t xml:space="preserve">This press release contains “forward-looking statements” within the meaning of Section 27A of the Securities Act of 1933, as amended, and Section 21E of the Securities Exchange Act of 1934, as amended. In some cases, you can identify forward-looking statements by terms such as “anticipate,” “believe,” “estimate,” “expect,” “intend,” “outlook,” “may,” “might,” “plan,” “project,” “will,” “would,” “should,” “could,” “can,” “predict,” “potential,” “strategy,” “target,” “explore,” “continue,” or the negative of these terms, and similar expressions intended to identify forward-looking statements. However, not all forward-looking statements contain these identifying words. These statements may relate to our market size and growth strategy, our estimated and projected costs, margins, revenue, expenditures and customer and financial growth rates, our Q3 and fiscal 2026 financial outlook, our plans and objectives for future operations, growth, initiatives or strategies. By their nature, these statements are subject to numerous uncertainties and risks, including factors beyond our control, that could cause actual results, performance or achievement to differ materially and adversely from those anticipated or implied in the forward-looking statements. These assumptions, uncertainties and risks include that, among others, the anticipated benefits and opportunities related to our 2025 realignment may not be realized or may take longer to realize than expected, our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rFonts w:ascii="Times New Roman" w:hAnsi="Times New Roman"/>
          <w:sz w:val="20"/>
        </w:rPr>
      </w:pPr>
      <w:r>
        <w:rPr>
          <w:rFonts w:ascii="Times New Roman" w:hAnsi="Times New Roman"/>
          <w:color w:val="000000"/>
          <w:sz w:val="20"/>
        </w:rPr>
        <w:t xml:space="preserve">ability to pay the interest and principal on our indebtedness depends upon cash flows generated by our operating performance, our business would be harmed by any decline in new customers, renewals or upgrades, our limited operating history makes it difficult to evaluate our prospects and future results of operations, we operate in competitive markets, we may not be able to sustain our revenue growth rate in the future, our business would be harmed by any significant interruptions, delays or outages in services from our platform or certain social media platforms, and a cybersecurity-related attack, significant data breach or disruption of the information technology systems or networks could negatively affect our business. Additional risks and uncertainties that could cause actual outcomes and results to differ materially from those contemplated by the forward-looking statements are included under the caption “Risk Factors” and elsewhere in our filings with the Securities and Exchange Commission (the “SEC”), including our Annual Report on Form 10-K for the year ended December 31, 2025, our Quarterly Reports on Form 10-Q, and the future quarterly and current reports that we file with the SEC. Forward-looking statements speak only as of the date the statements are made and are based on information available to </w:t>
      </w:r>
      <w:r>
        <w:rPr>
          <w:rFonts w:ascii="Times New Roman" w:hAnsi="Times New Roman"/>
          <w:sz w:val="20"/>
        </w:rPr>
        <w:t>Commerce.com</w:t>
      </w:r>
      <w:r>
        <w:rPr>
          <w:rFonts w:ascii="Times New Roman" w:hAnsi="Times New Roman"/>
          <w:color w:val="000000"/>
          <w:sz w:val="20"/>
        </w:rPr>
        <w:t>, Inc. at the time those statements are made and/or management's good faith belief as of that time with respect to future events. Commerce.com, Inc. assumes no obligation to update forward-looking statements to reflect events or circumstances after the date they were made, except as required by law.</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Use of Non-GAAP Financial Measures</w:t>
      </w:r>
    </w:p>
    <w:p>
      <w:pPr>
        <w:pStyle w:val="TextBody"/>
        <w:bidi w:val="0"/>
        <w:jc w:val="left"/>
        <w:rPr>
          <w:rFonts w:ascii="Times New Roman" w:hAnsi="Times New Roman"/>
          <w:color w:val="000000"/>
          <w:sz w:val="20"/>
        </w:rPr>
      </w:pPr>
      <w:r>
        <w:rPr>
          <w:rFonts w:ascii="Times New Roman" w:hAnsi="Times New Roman"/>
          <w:color w:val="000000"/>
          <w:sz w:val="20"/>
        </w:rPr>
        <w:t>We have provided in this press release certain financial information that has not been prepared in accordance with generally accepted accounting principles in the United States (“GAAP”). Our management uses these Non-GAAP financial measures internally in analyzing our financial results and believes that use of these Non-GAAP financial measures is useful to investors as an additional tool to evaluate ongoing operating results and trends and in comparing our financial results with other companies in our industry, many of which present similar Non-GAAP financial measures. Non-GAAP financial measures are not meant to be considered in isolation or as a substitute for comparable financial measures prepared in accordance with GAAP and should be read only in conjunction with our consolidated financial statements prepared in accordance with GAAP. A reconciliation of our historical Non-GAAP financial measures to the most directly comparable GAAP measures has been provided in the financial statement tables included in this press release, and investors are encouraged to review these reconciliations.</w:t>
      </w:r>
    </w:p>
    <w:p>
      <w:pPr>
        <w:pStyle w:val="TextBody"/>
        <w:bidi w:val="0"/>
        <w:jc w:val="left"/>
        <w:rPr>
          <w:rFonts w:ascii="Times New Roman" w:hAnsi="Times New Roman"/>
          <w:b/>
          <w:color w:val="000000"/>
          <w:sz w:val="20"/>
        </w:rPr>
      </w:pPr>
      <w:r>
        <w:rPr>
          <w:rFonts w:ascii="Times New Roman" w:hAnsi="Times New Roman"/>
          <w:b/>
          <w:color w:val="000000"/>
          <w:sz w:val="20"/>
        </w:rPr>
        <w:t>Annual Revenue Run-Rate</w:t>
      </w:r>
    </w:p>
    <w:p>
      <w:pPr>
        <w:pStyle w:val="TextBody"/>
        <w:bidi w:val="0"/>
        <w:jc w:val="left"/>
        <w:rPr>
          <w:rFonts w:ascii="Times New Roman" w:hAnsi="Times New Roman"/>
          <w:color w:val="000000"/>
          <w:sz w:val="20"/>
        </w:rPr>
      </w:pPr>
      <w:r>
        <w:rPr>
          <w:rFonts w:ascii="Times New Roman" w:hAnsi="Times New Roman"/>
          <w:color w:val="000000"/>
          <w:sz w:val="20"/>
        </w:rPr>
        <w:t>We calculate annual revenue run-rate (“ARR”) at the end of each month as the sum of: (1) contractual monthly recurring revenue at the end of the period, which includes platform subscription fees, invoiced growth adjustments, feed management subscription fees, recurring professional services revenue, and other recurring revenue, multiplied by twelve to prospectively annualize recurring revenue, and (2) the sum of the trailing twelve-month non-recurring and variable revenue, which includes one-time partner integrations, one-time fees, payments revenue share, and any other revenue that is non-recurring and variable.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Gross Merchandise Volume (GMV)</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Gross Merchandise Volume (“GMV”) represents the total dollar value of completed checkout transactions facilitated through the Commerce platform during the reporting period, including shipping and taxes. GMV is reported on a gross basis before deducting refunds or discounts. GMV is not a measure of revenue.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Net Revenue Retention (NRR)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Revenue Retention (“NRR”) measures our ability to retain and expand revenue from existing customers over time. NRR is calculated by dividing total billings and allocated partner revenue from a cohort of customers during the trailing twelve-month period by the total billings and allocated partner revenue from the same customer cohort 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corresponding prior-year period. NRR reflects the impact of customer expansion and contraction and excludes revenue from customers added after the prior twelve-month period. </w:t>
      </w:r>
    </w:p>
    <w:p>
      <w:pPr>
        <w:pStyle w:val="TextBody"/>
        <w:bidi w:val="0"/>
        <w:jc w:val="left"/>
        <w:rPr>
          <w:rFonts w:ascii="Times New Roman" w:hAnsi="Times New Roman"/>
          <w:b/>
          <w:color w:val="000000"/>
          <w:sz w:val="20"/>
        </w:rPr>
      </w:pPr>
      <w:r>
        <w:rPr>
          <w:rFonts w:ascii="Times New Roman" w:hAnsi="Times New Roman"/>
          <w:b/>
          <w:color w:val="000000"/>
          <w:sz w:val="20"/>
        </w:rPr>
        <w:t>Adjusted EBITDA</w:t>
      </w:r>
    </w:p>
    <w:p>
      <w:pPr>
        <w:pStyle w:val="TextBody"/>
        <w:bidi w:val="0"/>
        <w:jc w:val="left"/>
        <w:rPr>
          <w:rFonts w:ascii="Times New Roman" w:hAnsi="Times New Roman"/>
          <w:color w:val="000000"/>
          <w:sz w:val="20"/>
        </w:rPr>
      </w:pPr>
      <w:r>
        <w:rPr>
          <w:rFonts w:ascii="Times New Roman" w:hAnsi="Times New Roman"/>
          <w:color w:val="000000"/>
          <w:sz w:val="20"/>
        </w:rPr>
        <w:t>We define Adjusted EBITDA as our GAAP net income (loss), excluding the impact of stock-based compensation expense and related payroll tax costs, amortization of intangible assets, acquisition related costs, restructuring charges, depreciation, gain on convertible note extinguishment, interest income, interest expense, other expense, and our provision for income taxes. Acquisition related costs include contingent compensation arrangements entered into in connection with acquisitions and achieved earnout related to an acquisition.</w:t>
        <w:br/>
        <w:t> </w:t>
      </w:r>
    </w:p>
    <w:p>
      <w:pPr>
        <w:pStyle w:val="TextBody"/>
        <w:bidi w:val="0"/>
        <w:jc w:val="left"/>
        <w:rPr>
          <w:rFonts w:ascii="Times New Roman" w:hAnsi="Times New Roman"/>
          <w:color w:val="000000"/>
          <w:sz w:val="20"/>
        </w:rPr>
      </w:pPr>
      <w:r>
        <w:rPr>
          <w:rFonts w:ascii="Times New Roman" w:hAnsi="Times New Roman"/>
          <w:color w:val="000000"/>
          <w:sz w:val="20"/>
        </w:rPr>
        <w:t>Restructuring charges include severance benefits, right-of-use asset impairments, lease termination gain, contract costs, accelerated depreciation, professional services costs, and other related costs.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includes depreciation expenses related to the Company's fixed assets.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most directly comparable GAAP measure is net income (loss). </w:t>
      </w:r>
    </w:p>
    <w:p>
      <w:pPr>
        <w:pStyle w:val="TextBody"/>
        <w:bidi w:val="0"/>
        <w:jc w:val="left"/>
        <w:rPr>
          <w:rFonts w:ascii="Times New Roman" w:hAnsi="Times New Roman"/>
          <w:sz w:val="20"/>
        </w:rPr>
      </w:pPr>
      <w:r>
        <w:rPr>
          <w:rFonts w:ascii="Times New Roman" w:hAnsi="Times New Roman"/>
          <w:b/>
          <w:color w:val="000000"/>
          <w:sz w:val="20"/>
        </w:rPr>
        <w:t>Non-GAAP Operating Income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define Non-GAAP operating income as our GAAP income (loss) from operations, excluding the impact of stock-based compensation expense and related payroll tax costs, amortization of intangible assets, acquisition-related costs, and restructuring charges. The most directly comparable GAAP measure is our income (loss) from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Non-GAAP Net Income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define Non-GAAP net income as our GAAP net income (loss), excluding the impact of stock-based compensation expense and related payroll tax costs, amortization of intangible assets, acquisition-related costs, restructuring charges, and gain on convertible notes extinguishment. The most directly comparable GAAP measure is our net income (loss).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Non-GAAP Basic and Diluted Net Income per Share</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We define Non-GAAP basic net income (loss) per share as our Non-GAAP net income, defined above, divided by our basic and diluted GAAP weighted average shares outstanding. The most directly comparable GAAP measure is our basic net income (loss) per share.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Free Cash Flow</w:t>
      </w:r>
    </w:p>
    <w:p>
      <w:pPr>
        <w:pStyle w:val="TextBody"/>
        <w:bidi w:val="0"/>
        <w:jc w:val="left"/>
        <w:rPr>
          <w:rFonts w:ascii="Times New Roman" w:hAnsi="Times New Roman"/>
          <w:color w:val="000000"/>
          <w:sz w:val="20"/>
        </w:rPr>
      </w:pPr>
      <w:r>
        <w:rPr>
          <w:rFonts w:ascii="Times New Roman" w:hAnsi="Times New Roman"/>
          <w:color w:val="000000"/>
          <w:sz w:val="20"/>
        </w:rPr>
        <w:t>We define free cash flow as net cash provided by operating activities, less purchases of capitalized internal-use software, leasehold improvements, and property and equipment, collectively referred to as capital expenditures, and cash paid for website domain name. The most directly comparable GAAP measure is net cash provided by operating activities.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BigCommerce®, the Commerce logo, and other brands are the trademarks or registered trademarks of Commerce.com Pty. Ltd. Third-party trademarks and service marks are the property of their respective owner.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Media Relations Contact Investor Relations Contact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rFonts w:ascii="Times New Roman" w:hAnsi="Times New Roman"/>
          <w:color w:val="000000"/>
          <w:sz w:val="20"/>
        </w:rPr>
      </w:pPr>
      <w:r>
        <w:rPr>
          <w:rFonts w:ascii="Times New Roman" w:hAnsi="Times New Roman"/>
          <w:color w:val="000000"/>
          <w:sz w:val="20"/>
        </w:rPr>
        <w:t>Brad Hem Tyler Duncan</w:t>
      </w:r>
    </w:p>
    <w:p>
      <w:pPr>
        <w:pStyle w:val="TextBody"/>
        <w:bidi w:val="0"/>
        <w:jc w:val="left"/>
        <w:rPr>
          <w:rFonts w:ascii="Times New Roman" w:hAnsi="Times New Roman"/>
          <w:color w:val="000000"/>
          <w:sz w:val="20"/>
        </w:rPr>
      </w:pPr>
      <w:r>
        <w:rPr>
          <w:rFonts w:ascii="Times New Roman" w:hAnsi="Times New Roman"/>
          <w:color w:val="000000"/>
          <w:sz w:val="20"/>
        </w:rPr>
        <w:t>PR@commerce.com InvestorRelations@commerce.com</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center"/>
        <w:rPr>
          <w:rFonts w:ascii="Times New Roman" w:hAnsi="Times New Roman"/>
          <w:b/>
          <w:color w:val="000000"/>
          <w:sz w:val="20"/>
        </w:rPr>
      </w:pPr>
      <w:r>
        <w:rPr>
          <w:rFonts w:ascii="Times New Roman" w:hAnsi="Times New Roman"/>
          <w:b/>
          <w:color w:val="000000"/>
          <w:sz w:val="20"/>
        </w:rPr>
        <w:t>Commerce.com, Inc.</w:t>
      </w:r>
    </w:p>
    <w:p>
      <w:pPr>
        <w:pStyle w:val="TextBody"/>
        <w:bidi w:val="0"/>
        <w:spacing w:before="240" w:after="283"/>
        <w:jc w:val="center"/>
        <w:rPr>
          <w:rFonts w:ascii="Times New Roman" w:hAnsi="Times New Roman"/>
          <w:b/>
          <w:color w:val="000000"/>
          <w:sz w:val="21"/>
        </w:rPr>
      </w:pPr>
      <w:r>
        <w:rPr>
          <w:rFonts w:ascii="Times New Roman" w:hAnsi="Times New Roman"/>
          <w:b/>
          <w:color w:val="000000"/>
          <w:sz w:val="21"/>
        </w:rPr>
        <w:t>Condensed Consolidated Balance Sheets</w:t>
      </w:r>
    </w:p>
    <w:p>
      <w:pPr>
        <w:pStyle w:val="TextBody"/>
        <w:bidi w:val="0"/>
        <w:jc w:val="center"/>
        <w:rPr>
          <w:rFonts w:ascii="Times New Roman" w:hAnsi="Times New Roman"/>
          <w:i/>
          <w:color w:val="000000"/>
          <w:sz w:val="21"/>
        </w:rPr>
      </w:pPr>
      <w:r>
        <w:rPr>
          <w:rFonts w:ascii="Times New Roman" w:hAnsi="Times New Roman"/>
          <w:i/>
          <w:color w:val="000000"/>
          <w:sz w:val="21"/>
        </w:rPr>
        <w:t>(in thousands)</w:t>
      </w:r>
    </w:p>
    <w:p>
      <w:pPr>
        <w:pStyle w:val="TextBody"/>
        <w:bidi w:val="0"/>
        <w:jc w:val="center"/>
        <w:rPr/>
      </w:pPr>
      <w:r>
        <w:rPr/>
        <w:t> </w:t>
      </w:r>
    </w:p>
    <w:tbl>
      <w:tblPr>
        <w:tblW w:w="6822" w:type="dxa"/>
        <w:jc w:val="left"/>
        <w:tblInd w:w="0" w:type="dxa"/>
        <w:tblLayout w:type="fixed"/>
        <w:tblCellMar>
          <w:top w:w="28" w:type="dxa"/>
          <w:left w:w="28" w:type="dxa"/>
          <w:bottom w:w="28" w:type="dxa"/>
          <w:right w:w="28" w:type="dxa"/>
        </w:tblCellMar>
      </w:tblPr>
      <w:tblGrid>
        <w:gridCol w:w="4111"/>
        <w:gridCol w:w="146"/>
        <w:gridCol w:w="196"/>
        <w:gridCol w:w="751"/>
        <w:gridCol w:w="166"/>
        <w:gridCol w:w="146"/>
        <w:gridCol w:w="226"/>
        <w:gridCol w:w="869"/>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Prepaid expenses and other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Deferred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214,362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expenses and other assets,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commissions,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51,927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324,834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308,791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Convertible notes, net of current portion -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153,012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269,437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687,951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680,153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(641,030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324,834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308,791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center"/>
        <w:rPr>
          <w:rFonts w:ascii="Times New Roman" w:hAnsi="Times New Roman"/>
          <w:b/>
          <w:color w:val="000000"/>
          <w:sz w:val="20"/>
        </w:rPr>
      </w:pPr>
      <w:r>
        <w:rPr>
          <w:rFonts w:ascii="Times New Roman" w:hAnsi="Times New Roman"/>
          <w:b/>
          <w:color w:val="000000"/>
          <w:sz w:val="20"/>
        </w:rPr>
        <w:t>Commerce.com,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028" w:type="dxa"/>
        <w:jc w:val="left"/>
        <w:tblInd w:w="0" w:type="dxa"/>
        <w:tblLayout w:type="fixed"/>
        <w:tblCellMar>
          <w:top w:w="28" w:type="dxa"/>
          <w:left w:w="28" w:type="dxa"/>
          <w:bottom w:w="28" w:type="dxa"/>
          <w:right w:w="28" w:type="dxa"/>
        </w:tblCellMar>
      </w:tblPr>
      <w:tblGrid>
        <w:gridCol w:w="4846"/>
        <w:gridCol w:w="146"/>
        <w:gridCol w:w="224"/>
        <w:gridCol w:w="719"/>
        <w:gridCol w:w="176"/>
        <w:gridCol w:w="155"/>
        <w:gridCol w:w="224"/>
        <w:gridCol w:w="719"/>
        <w:gridCol w:w="166"/>
        <w:gridCol w:w="146"/>
        <w:gridCol w:w="211"/>
        <w:gridCol w:w="781"/>
        <w:gridCol w:w="166"/>
        <w:gridCol w:w="146"/>
        <w:gridCol w:w="211"/>
        <w:gridCol w:w="781"/>
        <w:gridCol w:w="2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 xml:space="preserve">Cost of revenue </w:t>
            </w: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20,982</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63,529</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Sales and marketing</w:t>
            </w: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Research and development</w:t>
            </w: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General and administrative</w:t>
            </w: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60,825</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141,277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convertible note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basic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82,790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5" w:type="dxa"/>
            <w:gridSpan w:val="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Amounts include stock-based compensation expense and associated payroll tax costs, as follows:</w:t>
      </w:r>
    </w:p>
    <w:tbl>
      <w:tblPr>
        <w:tblW w:w="7182" w:type="dxa"/>
        <w:jc w:val="left"/>
        <w:tblInd w:w="0" w:type="dxa"/>
        <w:tblLayout w:type="fixed"/>
        <w:tblCellMar>
          <w:top w:w="28" w:type="dxa"/>
          <w:left w:w="28" w:type="dxa"/>
          <w:bottom w:w="28" w:type="dxa"/>
          <w:right w:w="28" w:type="dxa"/>
        </w:tblCellMar>
      </w:tblPr>
      <w:tblGrid>
        <w:gridCol w:w="2311"/>
        <w:gridCol w:w="146"/>
        <w:gridCol w:w="252"/>
        <w:gridCol w:w="683"/>
        <w:gridCol w:w="174"/>
        <w:gridCol w:w="174"/>
        <w:gridCol w:w="252"/>
        <w:gridCol w:w="683"/>
        <w:gridCol w:w="146"/>
        <w:gridCol w:w="146"/>
        <w:gridCol w:w="230"/>
        <w:gridCol w:w="623"/>
        <w:gridCol w:w="159"/>
        <w:gridCol w:w="159"/>
        <w:gridCol w:w="230"/>
        <w:gridCol w:w="623"/>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center"/>
        <w:rPr>
          <w:rFonts w:ascii="Times New Roman" w:hAnsi="Times New Roman"/>
          <w:b/>
          <w:color w:val="000000"/>
          <w:sz w:val="20"/>
        </w:rPr>
      </w:pPr>
      <w:r>
        <w:rPr>
          <w:rFonts w:ascii="Times New Roman" w:hAnsi="Times New Roman"/>
          <w:b/>
          <w:color w:val="000000"/>
          <w:sz w:val="20"/>
        </w:rPr>
        <w:t>Commerce.com,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p>
      <w:pPr>
        <w:pStyle w:val="TextBody"/>
        <w:bidi w:val="0"/>
        <w:jc w:val="center"/>
        <w:rPr>
          <w:rFonts w:ascii="Times New Roman" w:hAnsi="Times New Roman"/>
          <w:i/>
          <w:color w:val="000000"/>
          <w:sz w:val="20"/>
        </w:rPr>
      </w:pPr>
      <w:r>
        <w:rPr>
          <w:rFonts w:ascii="Times New Roman" w:hAnsi="Times New Roman"/>
          <w:i/>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492"/>
        <w:gridCol w:w="208"/>
        <w:gridCol w:w="706"/>
        <w:gridCol w:w="176"/>
        <w:gridCol w:w="156"/>
        <w:gridCol w:w="208"/>
        <w:gridCol w:w="706"/>
        <w:gridCol w:w="166"/>
        <w:gridCol w:w="146"/>
        <w:gridCol w:w="196"/>
        <w:gridCol w:w="661"/>
        <w:gridCol w:w="166"/>
        <w:gridCol w:w="146"/>
        <w:gridCol w:w="196"/>
        <w:gridCol w:w="661"/>
        <w:gridCol w:w="215"/>
      </w:tblGrid>
      <w:tr>
        <w:trPr/>
        <w:tc>
          <w:tcPr>
            <w:tcW w:w="549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(8,735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(loss) to net cash provided by operating activities:</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Depreciation and amortization expense</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Amortization of discount on convertible notes</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Amortization of premium on convertible notes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Accretion on marketable securities, net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Stock-based compensation expense</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Provision for expected credit losses</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Gain on convertible notes extinguishment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Changes in operating assets and liabilities:</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Accounts receivable</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Prepaid expenses and other assets</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Deferred commissions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Accounts payable</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Accrued and other liabilities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Deferred revenue</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9,148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cash provided by operating activities</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5,092</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13,958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website domain name</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capitalized internal-use software, leasehold improvements, and property and equipment</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Maturity of marketable securities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41,579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of marketable securities</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(19,658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(40,517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cash used in investing activities</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exercise of stock options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paid related to net share settlement of equity awards</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convertible note issuance costs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 of convertible notes and financing obligation</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(54,528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Net cash provided by (used in) financing activities</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(53,027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change in cash and cash equivalents and restricted cash</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(42,927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and restricted cash, beginning of period</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59,091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90,356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and restricted cash, end of period</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58,329</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47,429</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information:</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Cash paid for interest</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Cash paid for interest - related party</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5,625</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5,685</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investing and financing activities:</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Capital additions, accrued but not paid</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Right-of-use asset obtained in exchange for new operating lease liability</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center"/>
        <w:rPr>
          <w:rFonts w:ascii="Times New Roman" w:hAnsi="Times New Roman"/>
          <w:b/>
          <w:color w:val="000000"/>
          <w:sz w:val="20"/>
        </w:rPr>
      </w:pPr>
      <w:r>
        <w:rPr>
          <w:rFonts w:ascii="Times New Roman" w:hAnsi="Times New Roman"/>
          <w:b/>
          <w:color w:val="000000"/>
          <w:sz w:val="20"/>
        </w:rPr>
        <w:t>Commerce.com, Inc.</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Disaggregation of Revenue</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Disaggregated Revenue:</w:t>
      </w:r>
    </w:p>
    <w:p>
      <w:pPr>
        <w:pStyle w:val="TextBody"/>
        <w:bidi w:val="0"/>
        <w:jc w:val="left"/>
        <w:rPr/>
      </w:pPr>
      <w:r>
        <w:rPr/>
        <w:t> </w:t>
      </w:r>
    </w:p>
    <w:tbl>
      <w:tblPr>
        <w:tblW w:w="7072" w:type="dxa"/>
        <w:jc w:val="left"/>
        <w:tblInd w:w="0" w:type="dxa"/>
        <w:tblLayout w:type="fixed"/>
        <w:tblCellMar>
          <w:top w:w="28" w:type="dxa"/>
          <w:left w:w="28" w:type="dxa"/>
          <w:bottom w:w="28" w:type="dxa"/>
          <w:right w:w="28" w:type="dxa"/>
        </w:tblCellMar>
      </w:tblPr>
      <w:tblGrid>
        <w:gridCol w:w="1951"/>
        <w:gridCol w:w="146"/>
        <w:gridCol w:w="226"/>
        <w:gridCol w:w="726"/>
        <w:gridCol w:w="156"/>
        <w:gridCol w:w="156"/>
        <w:gridCol w:w="226"/>
        <w:gridCol w:w="726"/>
        <w:gridCol w:w="146"/>
        <w:gridCol w:w="146"/>
        <w:gridCol w:w="211"/>
        <w:gridCol w:w="781"/>
        <w:gridCol w:w="146"/>
        <w:gridCol w:w="146"/>
        <w:gridCol w:w="211"/>
        <w:gridCol w:w="78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63,129</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21,382</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84,511</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Revenue by Geography:</w:t>
      </w:r>
      <w:r>
        <w:rPr>
          <w:rFonts w:ascii="Times New Roman" w:hAnsi="Times New Roman"/>
          <w:color w:val="000000"/>
          <w:sz w:val="20"/>
        </w:rPr>
        <w:t xml:space="preserve"> </w:t>
      </w:r>
    </w:p>
    <w:p>
      <w:pPr>
        <w:pStyle w:val="TextBody"/>
        <w:bidi w:val="0"/>
        <w:jc w:val="left"/>
        <w:rPr/>
      </w:pPr>
      <w:r>
        <w:rPr/>
        <w:t> </w:t>
      </w:r>
    </w:p>
    <w:tbl>
      <w:tblPr>
        <w:tblW w:w="6367" w:type="dxa"/>
        <w:jc w:val="left"/>
        <w:tblInd w:w="0" w:type="dxa"/>
        <w:tblLayout w:type="fixed"/>
        <w:tblCellMar>
          <w:top w:w="28" w:type="dxa"/>
          <w:left w:w="28" w:type="dxa"/>
          <w:bottom w:w="28" w:type="dxa"/>
          <w:right w:w="28" w:type="dxa"/>
        </w:tblCellMar>
      </w:tblPr>
      <w:tblGrid>
        <w:gridCol w:w="1246"/>
        <w:gridCol w:w="146"/>
        <w:gridCol w:w="226"/>
        <w:gridCol w:w="726"/>
        <w:gridCol w:w="156"/>
        <w:gridCol w:w="156"/>
        <w:gridCol w:w="226"/>
        <w:gridCol w:w="726"/>
        <w:gridCol w:w="146"/>
        <w:gridCol w:w="146"/>
        <w:gridCol w:w="211"/>
        <w:gridCol w:w="781"/>
        <w:gridCol w:w="146"/>
        <w:gridCol w:w="146"/>
        <w:gridCol w:w="211"/>
        <w:gridCol w:w="781"/>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11,103</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APAC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 of World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3,784</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84,511</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center"/>
        <w:rPr>
          <w:rFonts w:ascii="Times New Roman" w:hAnsi="Times New Roman"/>
          <w:b/>
          <w:color w:val="000000"/>
          <w:sz w:val="20"/>
        </w:rPr>
      </w:pPr>
      <w:r>
        <w:rPr>
          <w:rFonts w:ascii="Times New Roman" w:hAnsi="Times New Roman"/>
          <w:b/>
          <w:color w:val="000000"/>
          <w:sz w:val="20"/>
        </w:rPr>
        <w:t>Commerce.com, Inc</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Reconciliation of GAAP to Non-GAAP Results</w:t>
      </w:r>
    </w:p>
    <w:p>
      <w:pPr>
        <w:pStyle w:val="TextBody"/>
        <w:bidi w:val="0"/>
        <w:jc w:val="center"/>
        <w:rPr>
          <w:rFonts w:ascii="Times New Roman" w:hAnsi="Times New Roman"/>
          <w:i/>
          <w:color w:val="000000"/>
          <w:sz w:val="22"/>
        </w:rPr>
      </w:pPr>
      <w:r>
        <w:rPr>
          <w:rFonts w:ascii="Times New Roman" w:hAnsi="Times New Roman"/>
          <w:i/>
          <w:color w:val="000000"/>
          <w:sz w:val="22"/>
        </w:rPr>
        <w:t>(in thousands, except per share amounts)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Reconciliation of Income (loss) from operations to Non-GAAP operating income: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28"/>
        <w:gridCol w:w="146"/>
        <w:gridCol w:w="212"/>
        <w:gridCol w:w="682"/>
        <w:gridCol w:w="146"/>
        <w:gridCol w:w="273"/>
        <w:gridCol w:w="212"/>
        <w:gridCol w:w="682"/>
        <w:gridCol w:w="166"/>
        <w:gridCol w:w="271"/>
        <w:gridCol w:w="211"/>
        <w:gridCol w:w="781"/>
        <w:gridCol w:w="146"/>
        <w:gridCol w:w="271"/>
        <w:gridCol w:w="211"/>
        <w:gridCol w:w="781"/>
        <w:gridCol w:w="166"/>
        <w:gridCol w:w="320"/>
      </w:tblGrid>
      <w:tr>
        <w:trPr/>
        <w:tc>
          <w:tcPr>
            <w:tcW w:w="4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and associated payroll tax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income as a 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Reconciliation of net income (loss) &amp; basic net income (loss) per share to Non-GAAP net income &amp; Non-GAAP basic and diluted net income per share: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35"/>
        <w:gridCol w:w="146"/>
        <w:gridCol w:w="211"/>
        <w:gridCol w:w="680"/>
        <w:gridCol w:w="146"/>
        <w:gridCol w:w="272"/>
        <w:gridCol w:w="211"/>
        <w:gridCol w:w="680"/>
        <w:gridCol w:w="166"/>
        <w:gridCol w:w="271"/>
        <w:gridCol w:w="211"/>
        <w:gridCol w:w="781"/>
        <w:gridCol w:w="146"/>
        <w:gridCol w:w="271"/>
        <w:gridCol w:w="211"/>
        <w:gridCol w:w="781"/>
        <w:gridCol w:w="166"/>
        <w:gridCol w:w="320"/>
      </w:tblGrid>
      <w:tr>
        <w:trPr/>
        <w:tc>
          <w:tcPr>
            <w:tcW w:w="4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and associated payroll tax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convertible notes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basic 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diluted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D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basic income (loss) per share and basic Non-GAAP net income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to compute diluted Non-GAAP 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D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net income as a 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rFonts w:ascii="Times New Roman" w:hAnsi="Times New Roman"/>
          <w:b/>
          <w:color w:val="000000"/>
          <w:sz w:val="20"/>
        </w:rPr>
      </w:pPr>
      <w:r>
        <w:rPr>
          <w:rFonts w:ascii="Times New Roman" w:hAnsi="Times New Roman"/>
          <w:b/>
          <w:color w:val="000000"/>
          <w:sz w:val="20"/>
        </w:rPr>
        <w:t>Reconciliation of net income (loss) to adjusted EBITDA: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02"/>
        <w:gridCol w:w="146"/>
        <w:gridCol w:w="211"/>
        <w:gridCol w:w="678"/>
        <w:gridCol w:w="166"/>
        <w:gridCol w:w="271"/>
        <w:gridCol w:w="211"/>
        <w:gridCol w:w="678"/>
        <w:gridCol w:w="166"/>
        <w:gridCol w:w="271"/>
        <w:gridCol w:w="211"/>
        <w:gridCol w:w="781"/>
        <w:gridCol w:w="166"/>
        <w:gridCol w:w="271"/>
        <w:gridCol w:w="211"/>
        <w:gridCol w:w="781"/>
        <w:gridCol w:w="166"/>
        <w:gridCol w:w="318"/>
      </w:tblGrid>
      <w:tr>
        <w:trPr/>
        <w:tc>
          <w:tcPr>
            <w:tcW w:w="4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and associated payroll tax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convertible notes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 as a 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Reconciliation of Cost of revenue to Non-GAAP cost of revenue: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68"/>
        <w:gridCol w:w="146"/>
        <w:gridCol w:w="212"/>
        <w:gridCol w:w="682"/>
        <w:gridCol w:w="146"/>
        <w:gridCol w:w="273"/>
        <w:gridCol w:w="212"/>
        <w:gridCol w:w="682"/>
        <w:gridCol w:w="146"/>
        <w:gridCol w:w="271"/>
        <w:gridCol w:w="211"/>
        <w:gridCol w:w="781"/>
        <w:gridCol w:w="146"/>
        <w:gridCol w:w="271"/>
        <w:gridCol w:w="211"/>
        <w:gridCol w:w="781"/>
        <w:gridCol w:w="146"/>
        <w:gridCol w:w="320"/>
      </w:tblGrid>
      <w:tr>
        <w:trPr/>
        <w:tc>
          <w:tcPr>
            <w:tcW w:w="4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and associated payroll tax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percentage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rFonts w:ascii="Times New Roman" w:hAnsi="Times New Roman"/>
          <w:sz w:val="20"/>
        </w:rPr>
      </w:pPr>
      <w:r>
        <w:rPr>
          <w:rFonts w:ascii="Times New Roman" w:hAnsi="Times New Roman"/>
          <w:b/>
          <w:color w:val="000000"/>
          <w:sz w:val="20"/>
        </w:rPr>
        <w:t>Reconciliation of Sales and marketing expense to Non-GAAP sales and marketing expense:</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4568"/>
        <w:gridCol w:w="146"/>
        <w:gridCol w:w="212"/>
        <w:gridCol w:w="682"/>
        <w:gridCol w:w="146"/>
        <w:gridCol w:w="273"/>
        <w:gridCol w:w="212"/>
        <w:gridCol w:w="682"/>
        <w:gridCol w:w="146"/>
        <w:gridCol w:w="271"/>
        <w:gridCol w:w="211"/>
        <w:gridCol w:w="781"/>
        <w:gridCol w:w="146"/>
        <w:gridCol w:w="271"/>
        <w:gridCol w:w="211"/>
        <w:gridCol w:w="781"/>
        <w:gridCol w:w="146"/>
        <w:gridCol w:w="320"/>
      </w:tblGrid>
      <w:tr>
        <w:trPr/>
        <w:tc>
          <w:tcPr>
            <w:tcW w:w="4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and associated payroll tax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percentage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Reconciliation of Research and development expense to Non-GAAP research and development expense: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68"/>
        <w:gridCol w:w="146"/>
        <w:gridCol w:w="212"/>
        <w:gridCol w:w="682"/>
        <w:gridCol w:w="146"/>
        <w:gridCol w:w="273"/>
        <w:gridCol w:w="212"/>
        <w:gridCol w:w="682"/>
        <w:gridCol w:w="146"/>
        <w:gridCol w:w="271"/>
        <w:gridCol w:w="211"/>
        <w:gridCol w:w="781"/>
        <w:gridCol w:w="146"/>
        <w:gridCol w:w="271"/>
        <w:gridCol w:w="211"/>
        <w:gridCol w:w="781"/>
        <w:gridCol w:w="146"/>
        <w:gridCol w:w="320"/>
      </w:tblGrid>
      <w:tr>
        <w:trPr/>
        <w:tc>
          <w:tcPr>
            <w:tcW w:w="4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and associated payroll tax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percentage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Reconciliation of General and administrative expense to Non-GAAP general and administrative expense: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68"/>
        <w:gridCol w:w="146"/>
        <w:gridCol w:w="212"/>
        <w:gridCol w:w="682"/>
        <w:gridCol w:w="146"/>
        <w:gridCol w:w="273"/>
        <w:gridCol w:w="212"/>
        <w:gridCol w:w="682"/>
        <w:gridCol w:w="146"/>
        <w:gridCol w:w="271"/>
        <w:gridCol w:w="211"/>
        <w:gridCol w:w="781"/>
        <w:gridCol w:w="146"/>
        <w:gridCol w:w="271"/>
        <w:gridCol w:w="211"/>
        <w:gridCol w:w="781"/>
        <w:gridCol w:w="146"/>
        <w:gridCol w:w="320"/>
      </w:tblGrid>
      <w:tr>
        <w:trPr/>
        <w:tc>
          <w:tcPr>
            <w:tcW w:w="4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166,803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 and associated payroll tax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a percentage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rFonts w:ascii="Times New Roman" w:hAnsi="Times New Roman"/>
          <w:sz w:val="20"/>
        </w:rPr>
      </w:pPr>
      <w:r>
        <w:rPr>
          <w:rFonts w:ascii="Times New Roman" w:hAnsi="Times New Roman"/>
          <w:b/>
          <w:color w:val="000000"/>
          <w:sz w:val="20"/>
        </w:rPr>
        <w:t>Reconciliation of net cash provided by operating activities to free cash flow:</w:t>
        <w:br/>
      </w:r>
      <w:r>
        <w:rPr>
          <w:rFonts w:ascii="Times New Roman" w:hAnsi="Times New Roman"/>
          <w:color w:val="000000"/>
          <w:sz w:val="20"/>
        </w:rPr>
        <w:t> </w:t>
      </w:r>
    </w:p>
    <w:tbl>
      <w:tblPr>
        <w:tblW w:w="10205" w:type="dxa"/>
        <w:jc w:val="left"/>
        <w:tblInd w:w="0" w:type="dxa"/>
        <w:tblLayout w:type="fixed"/>
        <w:tblCellMar>
          <w:top w:w="28" w:type="dxa"/>
          <w:left w:w="28" w:type="dxa"/>
          <w:bottom w:w="28" w:type="dxa"/>
          <w:right w:w="28" w:type="dxa"/>
        </w:tblCellMar>
      </w:tblPr>
      <w:tblGrid>
        <w:gridCol w:w="5306"/>
        <w:gridCol w:w="146"/>
        <w:gridCol w:w="221"/>
        <w:gridCol w:w="662"/>
        <w:gridCol w:w="174"/>
        <w:gridCol w:w="152"/>
        <w:gridCol w:w="221"/>
        <w:gridCol w:w="710"/>
        <w:gridCol w:w="166"/>
        <w:gridCol w:w="146"/>
        <w:gridCol w:w="211"/>
        <w:gridCol w:w="676"/>
        <w:gridCol w:w="166"/>
        <w:gridCol w:w="146"/>
        <w:gridCol w:w="211"/>
        <w:gridCol w:w="676"/>
        <w:gridCol w:w="215"/>
      </w:tblGrid>
      <w:tr>
        <w:trPr/>
        <w:tc>
          <w:tcPr>
            <w:tcW w:w="5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website domain name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capitalized internal-use software, leasehold improvements, and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Free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9,038</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Annual revenue run-rate (ARR) as of:</w:t>
      </w:r>
      <w:r>
        <w:rPr>
          <w:rFonts w:ascii="Times New Roman" w:hAnsi="Times New Roman"/>
          <w:color w:val="000000"/>
          <w:sz w:val="20"/>
        </w:rPr>
        <w:t xml:space="preserve"> </w:t>
      </w:r>
    </w:p>
    <w:p>
      <w:pPr>
        <w:pStyle w:val="TextBody"/>
        <w:bidi w:val="0"/>
        <w:jc w:val="left"/>
        <w:rPr/>
      </w:pPr>
      <w:r>
        <w:rPr/>
        <w:t> </w:t>
      </w:r>
    </w:p>
    <w:tbl>
      <w:tblPr>
        <w:tblW w:w="7842" w:type="dxa"/>
        <w:jc w:val="left"/>
        <w:tblInd w:w="0" w:type="dxa"/>
        <w:tblLayout w:type="fixed"/>
        <w:tblCellMar>
          <w:top w:w="28" w:type="dxa"/>
          <w:left w:w="28" w:type="dxa"/>
          <w:bottom w:w="28" w:type="dxa"/>
          <w:right w:w="28" w:type="dxa"/>
        </w:tblCellMar>
      </w:tblPr>
      <w:tblGrid>
        <w:gridCol w:w="1126"/>
        <w:gridCol w:w="146"/>
        <w:gridCol w:w="211"/>
        <w:gridCol w:w="781"/>
        <w:gridCol w:w="146"/>
        <w:gridCol w:w="146"/>
        <w:gridCol w:w="211"/>
        <w:gridCol w:w="781"/>
        <w:gridCol w:w="146"/>
        <w:gridCol w:w="146"/>
        <w:gridCol w:w="233"/>
        <w:gridCol w:w="862"/>
        <w:gridCol w:w="146"/>
        <w:gridCol w:w="146"/>
        <w:gridCol w:w="242"/>
        <w:gridCol w:w="898"/>
        <w:gridCol w:w="146"/>
        <w:gridCol w:w="146"/>
        <w:gridCol w:w="211"/>
        <w:gridCol w:w="781"/>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ARR</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360,525</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359,827</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359,136</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355,716</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354,608</w:t>
            </w:r>
          </w:p>
        </w:tc>
        <w:tc>
          <w:tcPr>
            <w:tcW w:w="191"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Gross Merchandise Volume (GMV) for the three months ended:</w:t>
        <w:br/>
      </w:r>
      <w:r>
        <w:rPr>
          <w:rFonts w:ascii="Times New Roman" w:hAnsi="Times New Roman"/>
          <w:color w:val="000000"/>
          <w:sz w:val="20"/>
        </w:rPr>
        <w:t> </w:t>
      </w:r>
    </w:p>
    <w:tbl>
      <w:tblPr>
        <w:tblW w:w="5886" w:type="dxa"/>
        <w:jc w:val="left"/>
        <w:tblInd w:w="0" w:type="dxa"/>
        <w:tblLayout w:type="fixed"/>
        <w:tblCellMar>
          <w:top w:w="28" w:type="dxa"/>
          <w:left w:w="28" w:type="dxa"/>
          <w:bottom w:w="28" w:type="dxa"/>
          <w:right w:w="28" w:type="dxa"/>
        </w:tblCellMar>
      </w:tblPr>
      <w:tblGrid>
        <w:gridCol w:w="1741"/>
        <w:gridCol w:w="146"/>
        <w:gridCol w:w="421"/>
        <w:gridCol w:w="1139"/>
        <w:gridCol w:w="146"/>
        <w:gridCol w:w="146"/>
        <w:gridCol w:w="395"/>
        <w:gridCol w:w="1270"/>
        <w:gridCol w:w="166"/>
        <w:gridCol w:w="3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Sequential %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9"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8,779</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EF3F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8,852</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Net Revenue Retention (NRR) for the twelve months trailing as of:</w:t>
      </w:r>
      <w:r>
        <w:rPr>
          <w:rFonts w:ascii="Times New Roman" w:hAnsi="Times New Roman"/>
          <w:color w:val="000000"/>
          <w:sz w:val="20"/>
        </w:rPr>
        <w:t xml:space="preserve"> </w:t>
      </w:r>
    </w:p>
    <w:p>
      <w:pPr>
        <w:pStyle w:val="TextBody"/>
        <w:bidi w:val="0"/>
        <w:jc w:val="left"/>
        <w:rPr/>
      </w:pPr>
      <w:r>
        <w:rPr/>
        <w:t> </w:t>
      </w:r>
    </w:p>
    <w:tbl>
      <w:tblPr>
        <w:tblW w:w="6611" w:type="dxa"/>
        <w:jc w:val="left"/>
        <w:tblInd w:w="0" w:type="dxa"/>
        <w:tblLayout w:type="fixed"/>
        <w:tblCellMar>
          <w:top w:w="28" w:type="dxa"/>
          <w:left w:w="28" w:type="dxa"/>
          <w:bottom w:w="28" w:type="dxa"/>
          <w:right w:w="28" w:type="dxa"/>
        </w:tblCellMar>
      </w:tblPr>
      <w:tblGrid>
        <w:gridCol w:w="1741"/>
        <w:gridCol w:w="146"/>
        <w:gridCol w:w="512"/>
        <w:gridCol w:w="1648"/>
        <w:gridCol w:w="146"/>
        <w:gridCol w:w="271"/>
        <w:gridCol w:w="428"/>
        <w:gridCol w:w="1237"/>
        <w:gridCol w:w="166"/>
        <w:gridCol w:w="3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Trailing twelve months as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Sequential %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2026</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EF3F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428"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EF3F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EF3FE"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EF3FE"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648"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EF3FE"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6" w:type="dxa"/>
            <w:tcBorders/>
            <w:shd w:fill="CEF3FE"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Subscription annual revenue run-rate as of: </w:t>
        <w:br/>
      </w:r>
      <w:r>
        <w:rPr>
          <w:rFonts w:ascii="Times New Roman" w:hAnsi="Times New Roman"/>
          <w:color w:val="000000"/>
          <w:sz w:val="20"/>
        </w:rPr>
        <w:t> </w:t>
      </w:r>
    </w:p>
    <w:tbl>
      <w:tblPr>
        <w:tblW w:w="8322" w:type="dxa"/>
        <w:jc w:val="left"/>
        <w:tblInd w:w="0" w:type="dxa"/>
        <w:tblLayout w:type="fixed"/>
        <w:tblCellMar>
          <w:top w:w="28" w:type="dxa"/>
          <w:left w:w="28" w:type="dxa"/>
          <w:bottom w:w="28" w:type="dxa"/>
          <w:right w:w="28" w:type="dxa"/>
        </w:tblCellMar>
      </w:tblPr>
      <w:tblGrid>
        <w:gridCol w:w="1606"/>
        <w:gridCol w:w="146"/>
        <w:gridCol w:w="211"/>
        <w:gridCol w:w="781"/>
        <w:gridCol w:w="146"/>
        <w:gridCol w:w="146"/>
        <w:gridCol w:w="211"/>
        <w:gridCol w:w="781"/>
        <w:gridCol w:w="146"/>
        <w:gridCol w:w="146"/>
        <w:gridCol w:w="233"/>
        <w:gridCol w:w="862"/>
        <w:gridCol w:w="146"/>
        <w:gridCol w:w="146"/>
        <w:gridCol w:w="242"/>
        <w:gridCol w:w="898"/>
        <w:gridCol w:w="146"/>
        <w:gridCol w:w="146"/>
        <w:gridCol w:w="211"/>
        <w:gridCol w:w="781"/>
        <w:gridCol w:w="1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Subscription ARR</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270,284</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270,191</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272,411</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8"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268,617</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EF3F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EF3F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267,951</w:t>
            </w:r>
          </w:p>
        </w:tc>
        <w:tc>
          <w:tcPr>
            <w:tcW w:w="191" w:type="dxa"/>
            <w:tcBorders/>
            <w:shd w:fill="CEF3FE"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5634</Words>
  <Characters>30595</Characters>
  <CharactersWithSpaces>37349</CharactersWithSpaces>
  <Paragraphs>3804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