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bigc-20260630.htm"/>
        <w:bookmarkStart w:id="1" w:name="ksbigc20260630"/>
        <w:bookmarkEnd w:id="0"/>
        <w:bookmarkEnd w:id="1"/>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 to 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001-39423</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0"/>
        </w:rPr>
        <w:t>Commerce.com,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46-2707656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11920 Alterra Parkway</w:t>
              <w:br/>
              <w:t>D11 / Suite 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8th Floor</w:t>
              <w:br/>
              <w:t>Austin, Texas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78758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(512) 865-4500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000" w:type="dxa"/>
        <w:jc w:val="left"/>
        <w:tblInd w:w="0" w:type="dxa"/>
        <w:tblLayout w:type="fixed"/>
        <w:tblCellMar>
          <w:top w:w="28" w:type="dxa"/>
          <w:left w:w="28" w:type="dxa"/>
          <w:bottom w:w="28" w:type="dxa"/>
          <w:right w:w="28" w:type="dxa"/>
        </w:tblCellMar>
      </w:tblPr>
      <w:tblGrid>
        <w:gridCol w:w="5566"/>
        <w:gridCol w:w="146"/>
        <w:gridCol w:w="826"/>
        <w:gridCol w:w="146"/>
        <w:gridCol w:w="3316"/>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55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Series 1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CMRC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Market</w:t>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Junior Participating Preferred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4, 2026, the registrant</w:t>
      </w:r>
      <w:r>
        <w:rPr>
          <w:rFonts w:ascii="Times New Roman" w:hAnsi="Times New Roman"/>
          <w:color w:val="000000"/>
          <w:sz w:val="20"/>
        </w:rPr>
        <w:t xml:space="preserve"> </w:t>
      </w:r>
      <w:r>
        <w:rPr>
          <w:rFonts w:ascii="Times New Roman" w:hAnsi="Times New Roman"/>
          <w:color w:val="000000"/>
          <w:sz w:val="18"/>
        </w:rPr>
        <w:t>had 82,858,991</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9"/>
        <w:gridCol w:w="8854"/>
        <w:gridCol w:w="512"/>
      </w:tblGrid>
      <w:tr>
        <w:trPr/>
        <w:tc>
          <w:tcPr>
            <w:tcW w:w="839"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563C1"/>
                <w:sz w:val="20"/>
                <w:u w:val="single"/>
              </w:rPr>
            </w:pPr>
            <w:r>
              <w:rPr>
                <w:rFonts w:ascii="Times New Roman" w:hAnsi="Times New Roman"/>
                <w:color w:val="0563C1"/>
                <w:sz w:val="20"/>
                <w:u w:val="single"/>
              </w:rPr>
              <w:t>FINANCIAL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statements">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Condensed Consolidated Statements of Comprehensive Income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Times New Roman" w:hAnsi="Times New Roman"/>
                  <w:color w:val="0000FF"/>
                  <w:sz w:val="20"/>
                  <w:u w:val="single"/>
                </w:rPr>
                <w:t>Condensed Consolidated Statements of Stockholders’ Equity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unregisteredsal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defaultsupon">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mine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otherinfo">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_1">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financial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6822" w:type="dxa"/>
        <w:jc w:val="left"/>
        <w:tblInd w:w="0" w:type="dxa"/>
        <w:tblLayout w:type="fixed"/>
        <w:tblCellMar>
          <w:top w:w="28" w:type="dxa"/>
          <w:left w:w="28" w:type="dxa"/>
          <w:bottom w:w="28" w:type="dxa"/>
          <w:right w:w="28" w:type="dxa"/>
        </w:tblCellMar>
      </w:tblPr>
      <w:tblGrid>
        <w:gridCol w:w="4111"/>
        <w:gridCol w:w="146"/>
        <w:gridCol w:w="196"/>
        <w:gridCol w:w="751"/>
        <w:gridCol w:w="166"/>
        <w:gridCol w:w="146"/>
        <w:gridCol w:w="226"/>
        <w:gridCol w:w="869"/>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Prepaid expenses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assets,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commissions,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notes, net of current portion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(641,030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028" w:type="dxa"/>
        <w:jc w:val="left"/>
        <w:tblInd w:w="0" w:type="dxa"/>
        <w:tblLayout w:type="fixed"/>
        <w:tblCellMar>
          <w:top w:w="28" w:type="dxa"/>
          <w:left w:w="28" w:type="dxa"/>
          <w:bottom w:w="28" w:type="dxa"/>
          <w:right w:w="28" w:type="dxa"/>
        </w:tblCellMar>
      </w:tblPr>
      <w:tblGrid>
        <w:gridCol w:w="4846"/>
        <w:gridCol w:w="146"/>
        <w:gridCol w:w="224"/>
        <w:gridCol w:w="719"/>
        <w:gridCol w:w="176"/>
        <w:gridCol w:w="155"/>
        <w:gridCol w:w="224"/>
        <w:gridCol w:w="719"/>
        <w:gridCol w:w="166"/>
        <w:gridCol w:w="146"/>
        <w:gridCol w:w="211"/>
        <w:gridCol w:w="781"/>
        <w:gridCol w:w="166"/>
        <w:gridCol w:w="146"/>
        <w:gridCol w:w="211"/>
        <w:gridCol w:w="781"/>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 xml:space="preserve">Cost of revenue </w:t>
            </w: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Sales and marketing</w:t>
            </w: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Research and development</w:t>
            </w: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General and administrative</w:t>
            </w: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60,825</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convertible note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basic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5"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Amounts include stock-based compensation expense and associated payroll tax costs, as follows:</w:t>
      </w:r>
    </w:p>
    <w:p>
      <w:pPr>
        <w:pStyle w:val="TextBody"/>
        <w:bidi w:val="0"/>
        <w:jc w:val="both"/>
        <w:rPr/>
      </w:pPr>
      <w:r>
        <w:rPr/>
        <w:t> </w:t>
      </w:r>
    </w:p>
    <w:tbl>
      <w:tblPr>
        <w:tblW w:w="7182" w:type="dxa"/>
        <w:jc w:val="left"/>
        <w:tblInd w:w="0" w:type="dxa"/>
        <w:tblLayout w:type="fixed"/>
        <w:tblCellMar>
          <w:top w:w="28" w:type="dxa"/>
          <w:left w:w="28" w:type="dxa"/>
          <w:bottom w:w="28" w:type="dxa"/>
          <w:right w:w="28" w:type="dxa"/>
        </w:tblCellMar>
      </w:tblPr>
      <w:tblGrid>
        <w:gridCol w:w="2311"/>
        <w:gridCol w:w="146"/>
        <w:gridCol w:w="252"/>
        <w:gridCol w:w="683"/>
        <w:gridCol w:w="174"/>
        <w:gridCol w:w="174"/>
        <w:gridCol w:w="252"/>
        <w:gridCol w:w="683"/>
        <w:gridCol w:w="146"/>
        <w:gridCol w:w="146"/>
        <w:gridCol w:w="230"/>
        <w:gridCol w:w="623"/>
        <w:gridCol w:w="159"/>
        <w:gridCol w:w="159"/>
        <w:gridCol w:w="230"/>
        <w:gridCol w:w="62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sz w:val="20"/>
        </w:rPr>
      </w:pPr>
      <w:bookmarkStart w:id="6" w:name="consolidated_statements_comprehensive_lo"/>
      <w:bookmarkEnd w:id="6"/>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Comprehensive Income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8586" w:type="dxa"/>
        <w:jc w:val="left"/>
        <w:tblInd w:w="0" w:type="dxa"/>
        <w:tblLayout w:type="fixed"/>
        <w:tblCellMar>
          <w:top w:w="28" w:type="dxa"/>
          <w:left w:w="28" w:type="dxa"/>
          <w:bottom w:w="28" w:type="dxa"/>
          <w:right w:w="28" w:type="dxa"/>
        </w:tblCellMar>
      </w:tblPr>
      <w:tblGrid>
        <w:gridCol w:w="3676"/>
        <w:gridCol w:w="146"/>
        <w:gridCol w:w="242"/>
        <w:gridCol w:w="655"/>
        <w:gridCol w:w="190"/>
        <w:gridCol w:w="167"/>
        <w:gridCol w:w="242"/>
        <w:gridCol w:w="723"/>
        <w:gridCol w:w="166"/>
        <w:gridCol w:w="146"/>
        <w:gridCol w:w="220"/>
        <w:gridCol w:w="597"/>
        <w:gridCol w:w="173"/>
        <w:gridCol w:w="152"/>
        <w:gridCol w:w="220"/>
        <w:gridCol w:w="660"/>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b/>
          <w:color w:val="000000"/>
          <w:sz w:val="20"/>
        </w:rPr>
      </w:pPr>
      <w:bookmarkStart w:id="7" w:name="consolidated_statements_convertible_pref"/>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03"/>
        <w:gridCol w:w="146"/>
        <w:gridCol w:w="146"/>
        <w:gridCol w:w="676"/>
        <w:gridCol w:w="146"/>
        <w:gridCol w:w="146"/>
        <w:gridCol w:w="345"/>
        <w:gridCol w:w="346"/>
        <w:gridCol w:w="146"/>
        <w:gridCol w:w="146"/>
        <w:gridCol w:w="211"/>
        <w:gridCol w:w="781"/>
        <w:gridCol w:w="166"/>
        <w:gridCol w:w="146"/>
        <w:gridCol w:w="211"/>
        <w:gridCol w:w="841"/>
        <w:gridCol w:w="166"/>
        <w:gridCol w:w="146"/>
        <w:gridCol w:w="370"/>
        <w:gridCol w:w="846"/>
        <w:gridCol w:w="166"/>
        <w:gridCol w:w="146"/>
        <w:gridCol w:w="249"/>
        <w:gridCol w:w="801"/>
        <w:gridCol w:w="213"/>
      </w:tblGrid>
      <w:tr>
        <w:trPr/>
        <w:tc>
          <w:tcPr>
            <w:tcW w:w="2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six months ended 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 net of shares withheld for employee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 net of shares withheld for employee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3"/>
        <w:gridCol w:w="146"/>
        <w:gridCol w:w="146"/>
        <w:gridCol w:w="676"/>
        <w:gridCol w:w="146"/>
        <w:gridCol w:w="146"/>
        <w:gridCol w:w="345"/>
        <w:gridCol w:w="346"/>
        <w:gridCol w:w="146"/>
        <w:gridCol w:w="146"/>
        <w:gridCol w:w="211"/>
        <w:gridCol w:w="781"/>
        <w:gridCol w:w="166"/>
        <w:gridCol w:w="146"/>
        <w:gridCol w:w="211"/>
        <w:gridCol w:w="841"/>
        <w:gridCol w:w="166"/>
        <w:gridCol w:w="146"/>
        <w:gridCol w:w="405"/>
        <w:gridCol w:w="811"/>
        <w:gridCol w:w="166"/>
        <w:gridCol w:w="146"/>
        <w:gridCol w:w="249"/>
        <w:gridCol w:w="801"/>
        <w:gridCol w:w="213"/>
      </w:tblGrid>
      <w:tr>
        <w:trPr/>
        <w:tc>
          <w:tcPr>
            <w:tcW w:w="2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six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 net of shares withheld for employee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 net of shares withheld for employee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92"/>
        <w:gridCol w:w="208"/>
        <w:gridCol w:w="706"/>
        <w:gridCol w:w="176"/>
        <w:gridCol w:w="156"/>
        <w:gridCol w:w="208"/>
        <w:gridCol w:w="706"/>
        <w:gridCol w:w="166"/>
        <w:gridCol w:w="146"/>
        <w:gridCol w:w="196"/>
        <w:gridCol w:w="661"/>
        <w:gridCol w:w="166"/>
        <w:gridCol w:w="146"/>
        <w:gridCol w:w="196"/>
        <w:gridCol w:w="661"/>
        <w:gridCol w:w="215"/>
      </w:tblGrid>
      <w:tr>
        <w:trPr/>
        <w:tc>
          <w:tcPr>
            <w:tcW w:w="549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provided by operating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Depreciation and amortization expense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Amortization of discount on convertible notes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Amortization of premium on convertible notes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Accretion on marketable securities, net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Stock-based compensation expense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Provision for expected credit losses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Gain on convertible notes extinguishment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Changes in operating assets and liabilities: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Accounts receivable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Prepaid expenses and other assets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Deferred commissions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Accounts payable</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Accrued and other liabilities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Deferred revenue</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provided by operating activities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website domain name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capitalized internal-use software, leasehold improvements, and property and equipment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Maturity of marketable securities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marketable securities</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used in investing activities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paid related to net share settlement of equity awards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convertible note issuance costs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convertible notes and financing obligation</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(54,528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provided by (used in) financing activities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 and restricted cash</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(42,927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beginning of period</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90,356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end of period</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58,329</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47,429</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Cash paid for interest</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Cash paid for interest - related party</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Capital additions, accrued but not paid</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Right-of-use asset obtained in exchange for new operating lease liability</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80" w:after="283"/>
        <w:jc w:val="center"/>
        <w:rPr>
          <w:rFonts w:ascii="Times New Roman" w:hAnsi="Times New Roman"/>
          <w:b/>
          <w:color w:val="000000"/>
          <w:sz w:val="20"/>
        </w:rPr>
      </w:pPr>
      <w:bookmarkStart w:id="9" w:name="notes_to_consolidated_financial_statemen"/>
      <w:bookmarkEnd w:id="9"/>
      <w:r>
        <w:rPr>
          <w:rFonts w:ascii="Times New Roman" w:hAnsi="Times New Roman"/>
          <w:b/>
          <w:color w:val="000000"/>
          <w:sz w:val="20"/>
        </w:rPr>
        <w:t>Notes to Condensed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Commerce.com, Inc. ("Commerce," the "Company," "us," "we", or "our") provides an open, intelligent ecosystem of technology solutions designed to support data-centric, distributed, and orchestrated commerce solutions, enabling businesses to manage and utilize product data to deliver seamless, personalized experiences at scale. Our platform supports a range of business models, including business-to-consumer ("B2C"), business-to-business ("B2B"), and small businesses ("SB") use cases, and is designed to provide the infrastructure necessary to operate online storefronts, manage catalogs and orders, distribute product data, and develop digital content across multiple channels.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the parent brand behind the BigCommerce, Feedonomics, and Makeswift, and provides an integrated set of enterprise-grade solutions organized across three integrated control planes designed to support the evolving needs of modern commerce. The Company's platform enables businesses to operate within an increasingly AI-driven commerce ecosystem by supporting product discovery, customer engagement, and transaction execution across a range of digital channels and interfaces. The Company's mission reflects a multi-product strategy and rebranding to accurately reflect the Company's role as a unified commerce platform.</w:t>
      </w:r>
    </w:p>
    <w:p>
      <w:pPr>
        <w:pStyle w:val="TextBody"/>
        <w:bidi w:val="0"/>
        <w:jc w:val="left"/>
        <w:rPr>
          <w:rFonts w:ascii="Times New Roman" w:hAnsi="Times New Roman"/>
          <w:color w:val="000000"/>
          <w:sz w:val="20"/>
        </w:rPr>
      </w:pPr>
      <w:r>
        <w:rPr>
          <w:rFonts w:ascii="Times New Roman" w:hAnsi="Times New Roman"/>
          <w:color w:val="000000"/>
          <w:sz w:val="20"/>
        </w:rPr>
        <w:t>The Company operates as a data-centric, global, multi-tenant SaaS infrastructure that enables businesses of all sizes to launch and scale ecommerce operations with lower total cost of ownership and faster time to market. The Company's strategy centers on openness, extensibility, and partner collaboration, distinguishing itself from closed platforms by prioritizing customer choice and aligning with best-in-class providers in payments, fulfillment, ERP, marketing, and other categories to ensure customers can compose the right solution for their business. The Company believes the future of commerce is modular, intelligent, and user-controlled.</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(“GAAP”) for interim financial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opinion of management, there have been no significant changes from the significant accounting policies disclosed in Note 2 of the "Notes to Consolidated Financial Statements" included in our Form 10-K for the fiscal year ended December 31, 2025 filed with the Securities and Exchange Commission (“SEC”) on March 2, 2026 (our "Annual Report"). The accompanying interim unaudited condensed consolidated financial statements have been prepared on the same basis as the audited consolidated financial statements and include all adjustments, consisting of normal, recurring adjustments, necessary for a fair presentation. Certain information and disclosures normally included in the notes to the annual consolidated financial statements prepared in accordance with GAAP have been omitted from these interim unaudited condensed consolidated financial statements pursuant to the rules and regulations of the SEC. Accordingly, these interim unaudited condensed consolidated financial statements should be read in conjunction with the consolidated financial statements and the accompanying notes in our Annual Report. The results of operations for the three and six months ended June 30, 2026, are not necessarily indicative of the results to be expected for the year ending December 31, 2026, or for any other period.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Company’s accounts and the accounts of the Company’s wholly-owned subsidiaries. All material intercompany accounts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fiscal year ends on December 31. References to "fiscal 2026," for example, refer to the fiscal year ended December 31,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the Company’s management to make estimates and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estimates and assumptions made by management in these condensed consolidated financial statements include: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allowance for credit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constrained revenue;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variable consideration for revenue recognition;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period of benefit associated with costs capitalized to obtain revenue contracts;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value of certain stock awards issued;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valuation of convertible notes;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incremental borrowing rate used in the measurement of lease liabilities;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useful lives of intangible assets;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recognition, measurement and valuation of current and deferred income taxes and uncertain tax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use of estimates inherent in the financial reporting process, actual results could differ and the differences could be material to the Company’s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 Not Yet Adopted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ASU 2024-03, Disaggregation of Income Statement Expenses (Topic 220)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The new guidance is intended to provide investors more detailed disclosures around certain types of expenses, including employee compensation, depreciation, intangible asset amortization, and other specific expense categories. This standard also requires disclosure of the total amount of selling expenses to be presented in the notes to the financial statements. ASU 2024-03 is effective for the Company's fiscal years beginning after December 15, 2026, and interim periods within fiscal years after December 15, 2027. The Company is currently assessing the impact this standard will have on the Company's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ASU 2025-06, Intangibles - Goodwill and Other - Internal-Use Software (Subtopic 350-40)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(Subtopic 350-40): Targeted Improvements to the Accounting for Internal-Use Software. The amendments in this Update remove all references to prescriptive and sequential software developmental stages (referred to as "project stages"). ASU 2025-06 requires entities to begin capitalizing software costs when management authorizes and commits to funding the software project, and it is probable that the project will be completed and the software will be used for its intended purpose. ASU 2025-06 is effective for the Company's fiscal years beginning after December 15, 2027, and interim periods with those annual reporting periods. Early adoption is permitted. The Company is currently assessing the impact this standard will have on the Company's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ASU 2025-11, Interim Reporting (Topic 270): Narrow-Scope Improvements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FASB issued ASU 2025-11, Interim Reporting (Topic 270): Narrow-Scope Improvements to improve the navigability of required interim disclosures and clarify when applicable. ASU 2025-11 is not intended to change the fundamental nature of interim reporting or expand or reduce current interim disclosure requirements, but to provide clarity on current interim reporting requirements. ASU 2025-11 is effective for the Company's fiscal years beginning after December 15, 2027, and interim periods with those annual reporting periods. Early adoption is permitted. The Company is currently assessing the impact this standard will have on the Company's condensed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ASU 2025-12, Codification Improvements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2025-12, Codification Improvements to address suggestions received from stakeholders on the Accounting Standards Codification and to make other incremental improvements to U.S. GAAP. The update represents changes to the Codification that (1) clarify, (2) correct errors, and (3) make minor improvements. ASU 2025-12 is effective for the Company's fiscal years beginning after December 15, 2026, and interim periods with those annual reporting periods. The Company is currently assessing the impact this standard will have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accounting standard updates effective for interim and annual periods beginning after December 31, 2025 are not expected to have a material impact on the Company’s financial position, results of operations or cash flows.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professional-grade commerce solutions for all types of customers at all stages of their ecommerce growth. The Company conducts business as a single operating and reportable segment, which is based upon the Company's current organizational and management structure, as well as information used by the chief operating decision makers (CODMs) to allocate resources and assess company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CODM committee is comprised of the chief executive officer (CEO) and the chief financial officer and chief operating officer (CFO and COO). The Company's CODM committee reviews the financial information presented on a consolidated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basis for purposes of making operating decisions, allocating resources, and evaluating financial performance. The accounting policies of the segment are the same as those described in the summary of significant accounting policies in Note 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ASC 280, the Company concludes that consolidated net income (loss), as reported on the consolidated statement of operations, is the key measure of profitability that is required to be reported as it is the measure determined in accordance with measurement principles most consistent with GAAP. The CODMs use net income (loss) to allocate resources and assess performance which enhances the CODMs' ability to compare past financial performance with current financial performance and analyze business performance and trends. This metric is used when monitoring budget versus actual results, and to assess the performance of the Company's strategic priorities of driving efficient revenue growth. The significant expenses within net income (loss) on which the CODM committee relies include those that are reported on the consolidated statements of operations. The measure of segment assets is reported on the consolidated balance sheets as total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are stated at net realizable value and include both billed and unbilled receivables. Accounts receivable are net of an allowance for credit losses, are not collateralized, and do not bear interest. Payment terms range from due immediately to due within 90 days. Unbilled receivable balances arise primarily when the Company provides services in advance of invoicing for those services. Billing for revenues relating to the volume of transactions processed by the customer are generally billed a month in arrears, resulting in an unbilled receivable. The accounts receivable balance at June 30, 2026 and December 31, 2025 included unbilled receivables of $15.0 million and $14.3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the collectability of outstanding accounts receivable on an ongoing basis and maintains an allowance for credit losses for accounts receivable deemed uncollectible. To determine the allowance, the Company analyzes grouped customers by similar risk profiles, along with the invoiced accounts receivable portfolio, the age of the outstanding balance and historical write-offs, unbilled accounts receivable for significant risks and historical collection activity. Additionally, the Company applied the practical expedient related to the estimation of expected credit losses for current accounts receivable and current contract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Identified risks pertaining to the Company’s invoiced accounts receivable include the delinquency level and customer type. The estimate of the amount of accounts receivable that may not be collected is based on aging of the accounts receivable balances, historical customer delinquency, and assessment of the overall portfolio and general economic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credit losses consisted of the following:</w:t>
      </w:r>
    </w:p>
    <w:p>
      <w:pPr>
        <w:pStyle w:val="TextBody"/>
        <w:bidi w:val="0"/>
        <w:jc w:val="left"/>
        <w:rPr/>
      </w:pPr>
      <w:r>
        <w:rPr/>
        <w:t> </w:t>
      </w:r>
    </w:p>
    <w:tbl>
      <w:tblPr>
        <w:tblW w:w="4680" w:type="dxa"/>
        <w:jc w:val="left"/>
        <w:tblInd w:w="0" w:type="dxa"/>
        <w:tblLayout w:type="fixed"/>
        <w:tblCellMar>
          <w:top w:w="28" w:type="dxa"/>
          <w:left w:w="28" w:type="dxa"/>
          <w:bottom w:w="28" w:type="dxa"/>
          <w:right w:w="28" w:type="dxa"/>
        </w:tblCellMar>
      </w:tblPr>
      <w:tblGrid>
        <w:gridCol w:w="3481"/>
        <w:gridCol w:w="146"/>
        <w:gridCol w:w="211"/>
        <w:gridCol w:w="631"/>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recorded against the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recorded against the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 contract asset when revenue recognized on a contract exceeds the billings. Contract assets are recorded on the condensed consolidated balance sheets at the end of each reporting period in prepaid expenses and other assets, net. Typically, contract assets arise from agreements that have tiered billings over the contract life, promotional billing periods, and partner and services revenue agreements that include substantive minimums. Net contract assets were $1.8 million as of June 30, 2026 as compared to $2.5 million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exposed to credit losses primarily through sales of products and services to customers and partners. The Company assesses the collectability of outstanding contract assets on an ongoing basis and maintains a reserve which is included in the allowance for credit losses for contract assets deemed uncollectible. To determine the allowance, the Company analyzes the contract asset portfolio for significant risks by considering historical collection experience to determine what will ultimately be collected from its customers and partners. Delinquency level and customer type have been identified as the primary specific risk affecting the Company’s contract assets. The Company applied the practical expedient related to the estimation of expected credit losses for current accounts receivable and current contract assets. The Company has provisioned $0.3 million for credit losses related to contract assets as of June 30, 2026 and December 31,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Deferred commissions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certain sales commissions earned by the Company's sales and account management teams as these commission payments are considered incremental and recoverable costs of obtaining a contract with a customer. The Company begins amortizing deferred commissions costs for a particular customer agreement once the revenue recognition criteria are met and amortizes those deferred costs over the expected period of customer benefit. The Company amortizes deferred sales commissions ratably over the customer life which is approximately 3 years. The amortization of deferred commission is recorded in sales and marketing expense within the condensed consolidated statement of operations. The Company periodically reviews the carrying amount of deferred commissions to determine whether events or changes in circumstances have occurred that could impact the period of benefit of the deferred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primarily consists of amounts that have been received from customers in advance of the performance obligation being satisfied. The Company recognizes revenue from deferred revenue when the services are performed and the corresponding revenue recognition criteria are met. Amounts recognized from deferred revenue represent primarily revenue from the sale of subscription solutions, integration, and marketing services. The Company recognized $14.3 million and $44.7 million of previously deferred revenue during the three and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Capitalized Internal-Use Software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software costs associated with the development of internal software in accordance with ASC 350-40, Intangibles - Goodwill and Other - Internal-Use Software. These costs are incurred during the application development phase and meet other requirements for capitalization, including certain software tools. Capitalized software costs are recorded as part of property and equipment, net, and capitalized software costs related to hosting arrangements are recorded within prepaid expenses and other assets within the condensed consolidated balance sheets. These costs are amortized once placed in service over the useful life, which is generally 36 months.</w:t>
      </w:r>
    </w:p>
    <w:p>
      <w:pPr>
        <w:pStyle w:val="TextBody"/>
        <w:bidi w:val="0"/>
        <w:spacing w:before="24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Subscription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Subscription solutions revenue consists primarily of subscription fees from all plans and recurring professional services. Subscription solutions are typically charged annually for the Company’s customers to sell their products and process transactions on the BigCommerce platform. Subscription solutions are generally charged per online store and are based on the store’s subscription plan. Subscription fees are adjusted if a customer’s gross merchandise volume ("GMV") or orders processed are above specified plan thresholds on a trailing twelve-month basis. For most subscription solutions arrangements, the Company utilizes the right to invoice practical expedient and, therefore, recognizes fixed monthly fees or a pro-rata portion of fees and any transaction fees as revenue in the month they are earned. The Company utilizes a pricing structure that provides a discount to the contractual price for customers who have prepayment terms. The total subscription fee and recurring professional services are recognized on a straight-line basis over the term of the contract. In determining the amount of revenue to be recognized, the Company determines whether collection of the entire transaction price is probable. Only amounts deemed probable are recognized as revenue. Key factors in this determination are historical contract termination rates, general economic factors, and customer specific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solutions include revenue from Feedonomics. Feedonomics provides an AI-based product data feed management platform and related services that enable online retailers and other sellers to automate online listings of the sellers’ information across multiple third-party marketplaces and advertisers. The Company provides these services under service contracts which are generally one year or less, and in many cases month-to-month. These service types may be sold stand-alone or as part of a multi-service bundle (e.g. both marketplaces and advertising). Services are performed and fees are determined based on monthly usage and are billed in arrears.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Contracts with the Company’s retail customers are generally month-to-month, while contract terms with the Company’s enterprise customers generally range from one to three years. Contracts are typically non-cancelable and do not contain refund-type provisions. Revenue is presented net of sales tax and other taxes the Company collects on behalf of governmental authorities.</w:t>
      </w:r>
    </w:p>
    <w:p>
      <w:pPr>
        <w:pStyle w:val="TextBody"/>
        <w:bidi w:val="0"/>
        <w:spacing w:before="240" w:after="283"/>
        <w:jc w:val="left"/>
        <w:rPr>
          <w:rFonts w:ascii="Times New Roman" w:hAnsi="Times New Roman"/>
          <w:sz w:val="20"/>
        </w:rPr>
      </w:pPr>
      <w:r>
        <w:rPr>
          <w:rFonts w:ascii="Times New Roman" w:hAnsi="Times New Roman"/>
          <w:b/>
          <w:i/>
          <w:color w:val="000000"/>
          <w:sz w:val="20"/>
        </w:rPr>
        <w:t>Partner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partner and services revenue include partner technology integrations, marketing services provided to partners, professional services, and revenue share. Revenue share primarily relates to fees earned by the Company’s partners from customers using the BigCommerce platform, where the Company has an arrangement with such partners to share in those fees as they occur. Revenue from revenue-sharing arrangements is recognized at the time the earning activity is complete, which is generally monthly and variable based on customer usage.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partner technology integration fees is recognized on a straight-line basis over the life of the contract, beginning when the integration is complete. The Company's most significant partner technology integration offering is BigCommerce Payments, an embedded payment 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for marketing services are recognized either at the time the earning activity is complete, or ratably over the length of the contract, depending on the nature of the obligations in the contract. Payments received in advance of services being rendered are recorded as deferred revenue and recognized when the obligation is completed.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services, which primarily consist of education packages, launch services, solutions architecting, implementation consulting, and catalog transfer services, are generally billed and recognized as revenue when delivered. The Company also derives revenue from the sales of website themes and applications upon delivery.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 revenue share is recognized on a net basis as the Company is the agent in the arrangements with third-party application providers. All other revenue is recognized on a gross basis, as the Company is the principal in these arrangements.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Contracts with multiple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performance obligation is a promise in a contract to transfer a distinct good or service to the customer. Determining whether products and services are considered distinct performance obligations that should be accounted for separately versus together may require judgment.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subscription contracts are generally comprised of a single performance obligation to provide access to the BigCommerce platform, but can include additional performance obligations. For contracts with multiple performance obligations where the contracted price differs from the standalone selling price (“SSP”) for any distinct service, the Company may be required to allocate the contract’s transaction price to each performance obligation using the Company’s best estimate of SSP. Judgment is required to determine the SSP for each distinct performance obligation. A contract’s transaction price is allocated to each distinct performance obligation and recognized as revenue when, or as, the performance obligation is satisfied. The primary method used to estimate SSP is the observable prices of products or services sold or priced separately in comparable circumstances to similar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Contracts with the Company’s partners may include multiple performance obligations, which can include integrations and marketing activities. In determining whether integration services are distinct from hosting services the Company considers various factors. These considerations include the level of integration, interdependency, and interrelation between the implementation and hosting services. The Company has concluded that the integration services included in contracts with hosting obligations are not distinct. As a result, the Company defers any arrangement fees for integration services and recognizes such amounts over the life of the hosting obligation commencing when the integration has been completed. To determine if marketing activities are distinct, the Company considers the nature of the promise in the contract, the timing of payment, and the partner expectations. Additional consideration for some partner contracts varies based on the level of customer activity on the platform. Certain agreements contain minimum guarantees of revenue share. These contracts are evaluated to determine if the guaranteed minimum is substantive. If the minimum is deemed substantive, revenue is recognized ratably over the life of the agreement. For most contracts, variable fees are recognized in the period they are earned as the Company utilizes the right to invoice practical expedient.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revenue recognition, billings and cash collections can result in billed accounts receivable, unbilled receivables, contract assets, and deferred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Remaining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remaining performance obligations are contracted revenue minimums that have not yet been recognized, including amounts that will be invoiced and recognized as revenue in future periods. Remaining performance obligations are subject to future economic risks, including bankruptcies, regulatory changes and other market factors. The majority of the Company's noncurrent remaining performance obligations are expected to be recognized in the next 13 to 36 months. One of the Company's strategic partner's contract renewal is reflected in the total remaining performance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Remaining performance obligation consisted of the following:</w:t>
      </w:r>
    </w:p>
    <w:p>
      <w:pPr>
        <w:pStyle w:val="TextBody"/>
        <w:bidi w:val="0"/>
        <w:jc w:val="left"/>
        <w:rPr/>
      </w:pPr>
      <w:r>
        <w:rPr/>
        <w:t> </w:t>
      </w:r>
    </w:p>
    <w:tbl>
      <w:tblPr>
        <w:tblW w:w="5577" w:type="dxa"/>
        <w:jc w:val="left"/>
        <w:tblInd w:w="0" w:type="dxa"/>
        <w:tblLayout w:type="fixed"/>
        <w:tblCellMar>
          <w:top w:w="28" w:type="dxa"/>
          <w:left w:w="28" w:type="dxa"/>
          <w:bottom w:w="28" w:type="dxa"/>
          <w:right w:w="28" w:type="dxa"/>
        </w:tblCellMar>
      </w:tblPr>
      <w:tblGrid>
        <w:gridCol w:w="1726"/>
        <w:gridCol w:w="146"/>
        <w:gridCol w:w="211"/>
        <w:gridCol w:w="781"/>
        <w:gridCol w:w="146"/>
        <w:gridCol w:w="146"/>
        <w:gridCol w:w="225"/>
        <w:gridCol w:w="721"/>
        <w:gridCol w:w="146"/>
        <w:gridCol w:w="146"/>
        <w:gridCol w:w="211"/>
        <w:gridCol w:w="781"/>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consists primarily of expenses related to third-party cloud computing and data storage services, personnel-related costs (including stock-based compensation) for customer support and professional services personnel, costs of maintaining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securing infrastructure and platform, credit card processing fees, allocation of overhead costs, and amortization of capitalized internal-use software.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issued stock options, restricted stock units (“RSUs”) and performance based restricted stock units (“PSUs”) to eligible employees and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valued stock options using the Black-Scholes option-pricing model at the date of grant and recognizes the related stock-based compensation expense on a straight-line basis over the service period, net of estimated forfeitures, which is typically four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the fair value of RSUs based on the closing market price of the common stock on the date of grant. RSUs generally vest over a four-year period either (i) in equal annual installments, or (ii) 25 percent on the one-year anniversary of the grant date with the remaining 75 percent vesting in equal quarterly installments thereafter, in each case, subject to continued service. Stock-based compensation expense is recognized on a straight-line basis over the requisite service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grants PSUs to executive officers and other members of senior management which provide for shares of common stock to be earned based on the Company's total stockholder return compared to the Russell 2000 index, and are referred to as market-based awards. The Company values these market-based awards on the grant date using the Monte Carlo simulation model. The determination of fair value is affected by the Company's stock price and a number of assumptions including the expected volatility and the risk-free interest rate. The Company assumes no dividend yield and recognizes stock-based compensation expense on a straight-line basis from grant date over the service period of the award. The market-based awards will cliff-vest at the end of the three-year period ranging from 0 percent to 200 percent of the target number of PSUs granted.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grants PSUs to executive officers and other members of senior management which provide for shares of common stock to be earned based on its attainment of the Company's adjusted earnings before interest, taxes, depreciation and amortization (“adjusted EBITDA”) and annual recurring revenue ("ARR") relative to a target specified in the applicable agreement, and are referred to as Company performance-based awards. The Company typically values these awards at the closing market price on the date of grant. The vesting of Company performance-based awards is conditioned upon the achievement of certain targets and will vest in three annual tranches in a percentage of the target number of shares between 0 percent to 200 percent. The Company recognizes stock-based compensation expense on a straight-line basis over the service period, if it is probable that the performance condition will be achieved. Adjustments to stock-based compensation expense are made, as needed, each reporting period based on changes in our estimate of the number of units that are probable of vesting.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restructure certain internal operations are accounted for as one-time termination and exit costs. A liability for a cost associated with restructuring activities is recognized and measured at its estimated fair value in our condensed consolidated balance sheet in the period the liability is incurred. All costs relating to restructurings are recorded as "Restructuring charges" in the condensed consolidated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employee severance costs when payments are probable and amounts are estimable or when notification occurs depending on whether the severance costs paid are part of an ongoing benefit arrangement. Costs related to contracts without future benefit or contract terminations are recognized at the earlier of the contract termination or the cease-use dates. Additionally, restructuring charges include considerations of various capital alternatives or changes in business activities which include expenses related to retention and relocation benefits, accelerated depreciation, professional services, and other costs. </w:t>
      </w:r>
    </w:p>
    <w:p>
      <w:pPr>
        <w:pStyle w:val="TextBody"/>
        <w:bidi w:val="0"/>
        <w:spacing w:before="12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 Revenue recognition and deferred costs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source of revenue consists of subscription solutions fees and partner and services fees. These services allow customers to access the Company’s subscription solutions over the contract period. The customer is not allowed to take possession of the solutions or transfer the solutions. The Company’s revenue arrangements do not contain general rights of refund in the event of cancellations.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disaggregates revenue by major source:</w:t>
      </w:r>
    </w:p>
    <w:tbl>
      <w:tblPr>
        <w:tblW w:w="7072" w:type="dxa"/>
        <w:jc w:val="left"/>
        <w:tblInd w:w="0" w:type="dxa"/>
        <w:tblLayout w:type="fixed"/>
        <w:tblCellMar>
          <w:top w:w="28" w:type="dxa"/>
          <w:left w:w="28" w:type="dxa"/>
          <w:bottom w:w="28" w:type="dxa"/>
          <w:right w:w="28" w:type="dxa"/>
        </w:tblCellMar>
      </w:tblPr>
      <w:tblGrid>
        <w:gridCol w:w="1951"/>
        <w:gridCol w:w="146"/>
        <w:gridCol w:w="226"/>
        <w:gridCol w:w="726"/>
        <w:gridCol w:w="156"/>
        <w:gridCol w:w="156"/>
        <w:gridCol w:w="226"/>
        <w:gridCol w:w="726"/>
        <w:gridCol w:w="146"/>
        <w:gridCol w:w="146"/>
        <w:gridCol w:w="211"/>
        <w:gridCol w:w="781"/>
        <w:gridCol w:w="146"/>
        <w:gridCol w:w="146"/>
        <w:gridCol w:w="211"/>
        <w:gridCol w:w="78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21,382</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Revenue by geographic region was as follows:</w:t>
      </w:r>
    </w:p>
    <w:tbl>
      <w:tblPr>
        <w:tblW w:w="6367" w:type="dxa"/>
        <w:jc w:val="left"/>
        <w:tblInd w:w="0" w:type="dxa"/>
        <w:tblLayout w:type="fixed"/>
        <w:tblCellMar>
          <w:top w:w="28" w:type="dxa"/>
          <w:left w:w="28" w:type="dxa"/>
          <w:bottom w:w="28" w:type="dxa"/>
          <w:right w:w="28" w:type="dxa"/>
        </w:tblCellMar>
      </w:tblPr>
      <w:tblGrid>
        <w:gridCol w:w="1246"/>
        <w:gridCol w:w="146"/>
        <w:gridCol w:w="226"/>
        <w:gridCol w:w="726"/>
        <w:gridCol w:w="156"/>
        <w:gridCol w:w="156"/>
        <w:gridCol w:w="226"/>
        <w:gridCol w:w="726"/>
        <w:gridCol w:w="146"/>
        <w:gridCol w:w="146"/>
        <w:gridCol w:w="211"/>
        <w:gridCol w:w="781"/>
        <w:gridCol w:w="146"/>
        <w:gridCol w:w="146"/>
        <w:gridCol w:w="211"/>
        <w:gridCol w:w="78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by geographical region is determined based on the region of the Company’s contracting entity, which may be different than the region of the customer. Revenue attributed to the United States was approximately 75 percent for the three months ended June 30, 2026 and 76 percent for the three months ended June 30, 2025. For the six months ended June 30, 2026 and 2025, revenue attributed to the United States was approximately 76 percent. Revenue attributed to EMEA was approximately 13 percent for the three and six months ended June 30, 2026 and approximately 12 percent for the three and six months ended June 30, 2025. No single region, other than the United States and EMEA, represented more than ten percent of total revenue during the three and six months ended June 30,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commissions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amortizes certain sales commissions costs that are considered incremental and recoverable costs of obtaining a contract with a customer. The portion of capitalized costs expected to be amortized during the succeeding twelve-month period is recorded in current assets as deferred commissions, and the remainder is recorded in deferred commissions, net of current portion reflected on the condensed consolidated balance sheets. The Company did not recognize an impairment of deferred commissions for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commissions of $1.2 million and $1.6 million were deferred for the three months ended June 30, 2026 and 2025, respectively; and $1.8 million and $2.2 million were deferred for the six months ended June 30, 2026 and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commission amortization expense was $1.7 million and $2.5 million for the three months ended June 30, 2026 and 2025, respectively; and $3.7 million and $5.1 million for the six months ended June 30, 2026 and 2025, respectively.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carried at fair value include cash and cash equivalents, restricted cash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assets and liabilities measured at fair value, fair value is the price to sell an asset or paid to transfer a liability in an orderly transaction between market participants as of the measurement date. When determining fair value, the Company considers the principal or most advantageous market in which it would transact, and assumptions that market participants would use when pricing asset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standard for fair value establishes a fair value hierarchy based on three levels of inputs, the first two of which are considered observable and the last unobservable. The standard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inputs that may be used to measure fair value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Inputs are unadjusted, quoted prices in active markets for identical assets or liabilities at the measurement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are other than quoted prices included within Level 1 that are observable for the asset or liability, either directly or indirectly.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Inputs are unobservable that are significant to the fair value of the asset or liability and are developed based on the best information available in the circumstances, which might include the Company’s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cash equivalents and marketable securities that were measured at fair value as of June 30, 2026 and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85"/>
        <w:gridCol w:w="146"/>
        <w:gridCol w:w="337"/>
        <w:gridCol w:w="1082"/>
        <w:gridCol w:w="146"/>
        <w:gridCol w:w="146"/>
        <w:gridCol w:w="658"/>
        <w:gridCol w:w="659"/>
        <w:gridCol w:w="146"/>
        <w:gridCol w:w="146"/>
        <w:gridCol w:w="548"/>
        <w:gridCol w:w="548"/>
        <w:gridCol w:w="146"/>
        <w:gridCol w:w="146"/>
        <w:gridCol w:w="302"/>
        <w:gridCol w:w="970"/>
        <w:gridCol w:w="294"/>
      </w:tblGrid>
      <w:tr>
        <w:trPr/>
        <w:tc>
          <w:tcPr>
            <w:tcW w:w="3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for Identical Assets</w:t>
              <w:br/>
              <w:t>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w:t>
              <w:br/>
              <w:t>Inputs</w:t>
              <w:br/>
              <w:t>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Cash equivalents</w:t>
            </w:r>
            <w:r>
              <w:rPr>
                <w:rFonts w:ascii="Times New Roman" w:hAnsi="Times New Roman"/>
                <w:color w:val="000000"/>
                <w:sz w:val="22"/>
              </w:rPr>
              <w:t xml:space="preserve"> </w:t>
            </w:r>
            <w:r>
              <w:rPr>
                <w:rFonts w:ascii="Times New Roman" w:hAnsi="Times New Roman"/>
                <w:color w:val="000000"/>
                <w:sz w:val="15"/>
              </w:rPr>
              <w:t>(1)</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mutual funds &amp;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99,159</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Included in “Cash and cash equivalents” in the accompanying Condensed Consolidated Balance Sheets, in addition to $57.6 million of cash as of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85"/>
        <w:gridCol w:w="146"/>
        <w:gridCol w:w="337"/>
        <w:gridCol w:w="1082"/>
        <w:gridCol w:w="146"/>
        <w:gridCol w:w="146"/>
        <w:gridCol w:w="312"/>
        <w:gridCol w:w="1004"/>
        <w:gridCol w:w="146"/>
        <w:gridCol w:w="146"/>
        <w:gridCol w:w="548"/>
        <w:gridCol w:w="548"/>
        <w:gridCol w:w="146"/>
        <w:gridCol w:w="146"/>
        <w:gridCol w:w="302"/>
        <w:gridCol w:w="970"/>
        <w:gridCol w:w="295"/>
      </w:tblGrid>
      <w:tr>
        <w:trPr/>
        <w:tc>
          <w:tcPr>
            <w:tcW w:w="3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for Identical Assets</w:t>
              <w:br/>
              <w:t>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w:t>
              <w:br/>
              <w:t>Inputs</w:t>
              <w:br/>
              <w:t>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Cash equivalents</w:t>
            </w:r>
            <w:r>
              <w:rPr>
                <w:rFonts w:ascii="Times New Roman" w:hAnsi="Times New Roman"/>
                <w:color w:val="000000"/>
                <w:sz w:val="22"/>
              </w:rPr>
              <w:t xml:space="preserve"> </w:t>
            </w:r>
            <w:r>
              <w:rPr>
                <w:rFonts w:ascii="Times New Roman" w:hAnsi="Times New Roman"/>
                <w:color w:val="000000"/>
                <w:sz w:val="15"/>
              </w:rPr>
              <w:t>(1)</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mutual funds &amp;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96,838</w:t>
            </w:r>
          </w:p>
        </w:tc>
        <w:tc>
          <w:tcPr>
            <w:tcW w:w="2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Included in “Cash and cash equivalents” in the accompanying Condensed Consolidated Balance Sheets, in addition to $44.6 million of cash, as of December 31, 2025.</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The contractual maturities of the investments classified as marketable securities were as follows:</w:t>
      </w:r>
    </w:p>
    <w:tbl>
      <w:tblPr>
        <w:tblW w:w="6600" w:type="dxa"/>
        <w:jc w:val="left"/>
        <w:tblInd w:w="0" w:type="dxa"/>
        <w:tblLayout w:type="fixed"/>
        <w:tblCellMar>
          <w:top w:w="28" w:type="dxa"/>
          <w:left w:w="28" w:type="dxa"/>
          <w:bottom w:w="28" w:type="dxa"/>
          <w:right w:w="28" w:type="dxa"/>
        </w:tblCellMar>
      </w:tblPr>
      <w:tblGrid>
        <w:gridCol w:w="2506"/>
        <w:gridCol w:w="146"/>
        <w:gridCol w:w="367"/>
        <w:gridCol w:w="1178"/>
        <w:gridCol w:w="146"/>
        <w:gridCol w:w="146"/>
        <w:gridCol w:w="456"/>
        <w:gridCol w:w="1464"/>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through 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20"/>
        <w:jc w:val="left"/>
        <w:rPr>
          <w:rFonts w:ascii="Times New Roman" w:hAnsi="Times New Roman"/>
          <w:color w:val="000000"/>
          <w:sz w:val="20"/>
        </w:rPr>
      </w:pPr>
      <w:r>
        <w:rPr>
          <w:rFonts w:ascii="Times New Roman" w:hAnsi="Times New Roman"/>
          <w:color w:val="000000"/>
          <w:sz w:val="20"/>
        </w:rPr>
        <w:t>The following tables summarize the gains, losses, and estimated fair value of cash equivalents, marketable securities as of June 30, 2026 and December 31, 2025:</w:t>
      </w:r>
    </w:p>
    <w:tbl>
      <w:tblPr>
        <w:tblW w:w="9343" w:type="dxa"/>
        <w:jc w:val="left"/>
        <w:tblInd w:w="0" w:type="dxa"/>
        <w:tblLayout w:type="fixed"/>
        <w:tblCellMar>
          <w:top w:w="28" w:type="dxa"/>
          <w:left w:w="28" w:type="dxa"/>
          <w:bottom w:w="28" w:type="dxa"/>
          <w:right w:w="28" w:type="dxa"/>
        </w:tblCellMar>
      </w:tblPr>
      <w:tblGrid>
        <w:gridCol w:w="4106"/>
        <w:gridCol w:w="146"/>
        <w:gridCol w:w="296"/>
        <w:gridCol w:w="949"/>
        <w:gridCol w:w="146"/>
        <w:gridCol w:w="146"/>
        <w:gridCol w:w="443"/>
        <w:gridCol w:w="443"/>
        <w:gridCol w:w="146"/>
        <w:gridCol w:w="146"/>
        <w:gridCol w:w="270"/>
        <w:gridCol w:w="616"/>
        <w:gridCol w:w="166"/>
        <w:gridCol w:w="146"/>
        <w:gridCol w:w="211"/>
        <w:gridCol w:w="676"/>
        <w:gridCol w:w="291"/>
      </w:tblGrid>
      <w:tr>
        <w:trPr/>
        <w:tc>
          <w:tcPr>
            <w:tcW w:w="4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mutual funds &amp;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tbl>
      <w:tblPr>
        <w:tblW w:w="9323" w:type="dxa"/>
        <w:jc w:val="left"/>
        <w:tblInd w:w="0" w:type="dxa"/>
        <w:tblLayout w:type="fixed"/>
        <w:tblCellMar>
          <w:top w:w="28" w:type="dxa"/>
          <w:left w:w="28" w:type="dxa"/>
          <w:bottom w:w="28" w:type="dxa"/>
          <w:right w:w="28" w:type="dxa"/>
        </w:tblCellMar>
      </w:tblPr>
      <w:tblGrid>
        <w:gridCol w:w="4106"/>
        <w:gridCol w:w="146"/>
        <w:gridCol w:w="296"/>
        <w:gridCol w:w="949"/>
        <w:gridCol w:w="146"/>
        <w:gridCol w:w="146"/>
        <w:gridCol w:w="295"/>
        <w:gridCol w:w="591"/>
        <w:gridCol w:w="146"/>
        <w:gridCol w:w="146"/>
        <w:gridCol w:w="443"/>
        <w:gridCol w:w="443"/>
        <w:gridCol w:w="146"/>
        <w:gridCol w:w="146"/>
        <w:gridCol w:w="211"/>
        <w:gridCol w:w="676"/>
        <w:gridCol w:w="291"/>
      </w:tblGrid>
      <w:tr>
        <w:trPr/>
        <w:tc>
          <w:tcPr>
            <w:tcW w:w="4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mutual funds &amp;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96,838</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Goodwill and 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Goodwill represents the excess of the purchase price in a business combination over the fair value of net tangible and intangible assets acquired. </w:t>
      </w:r>
    </w:p>
    <w:p>
      <w:pPr>
        <w:pStyle w:val="TextBody"/>
        <w:bidi w:val="0"/>
        <w:jc w:val="left"/>
        <w:rPr>
          <w:rFonts w:ascii="Times New Roman" w:hAnsi="Times New Roman"/>
          <w:color w:val="000000"/>
          <w:sz w:val="20"/>
        </w:rPr>
      </w:pPr>
      <w:r>
        <w:rPr>
          <w:rFonts w:ascii="Times New Roman" w:hAnsi="Times New Roman"/>
          <w:color w:val="000000"/>
          <w:sz w:val="20"/>
        </w:rPr>
        <w:t>Goodwill amounts are not amortized but tested for impairment on an annual basis or more often when circumstances indicate that goodwill may not be recoverable. There was no impairment of goodwill for the three and six months ended June 30, 2026 and 2025.</w:t>
      </w:r>
    </w:p>
    <w:p>
      <w:pPr>
        <w:pStyle w:val="TextBody"/>
        <w:bidi w:val="0"/>
        <w:jc w:val="left"/>
        <w:rPr>
          <w:rFonts w:ascii="Times New Roman" w:hAnsi="Times New Roman"/>
          <w:color w:val="000000"/>
          <w:sz w:val="20"/>
        </w:rPr>
      </w:pPr>
      <w:r>
        <w:rPr>
          <w:rFonts w:ascii="Times New Roman" w:hAnsi="Times New Roman"/>
          <w:color w:val="000000"/>
          <w:sz w:val="20"/>
        </w:rPr>
        <w:t>Finite-lived intangible assets are amortized on a straight-line basis over the useful life. Intangible assets amortization was $1.5 million and $2.5 million, respectively, for the three months ended June 30, 2026 and 2025, and was $3.0 million and $4.9 million, respectively, for the six months ended June 30, 2026 and 2025. There was no impairment of intangible assets for the three and six months ended June 30, 2026 and 2025.</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expected amortization expense for intangible assets was as follows:</w:t>
      </w:r>
    </w:p>
    <w:p>
      <w:pPr>
        <w:pStyle w:val="TextBody"/>
        <w:bidi w:val="0"/>
        <w:jc w:val="left"/>
        <w:rPr/>
      </w:pPr>
      <w:r>
        <w:rPr/>
        <w:t> </w:t>
      </w:r>
    </w:p>
    <w:tbl>
      <w:tblPr>
        <w:tblW w:w="4088" w:type="dxa"/>
        <w:jc w:val="left"/>
        <w:tblInd w:w="0" w:type="dxa"/>
        <w:tblLayout w:type="fixed"/>
        <w:tblCellMar>
          <w:top w:w="28" w:type="dxa"/>
          <w:left w:w="28" w:type="dxa"/>
          <w:bottom w:w="28" w:type="dxa"/>
          <w:right w:w="28" w:type="dxa"/>
        </w:tblCellMar>
      </w:tblPr>
      <w:tblGrid>
        <w:gridCol w:w="2626"/>
        <w:gridCol w:w="146"/>
        <w:gridCol w:w="303"/>
        <w:gridCol w:w="822"/>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six months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24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in the ordinary course of its business. In general, the resolution of a legal matter could prevent the Company from offering its service to others, could be material to the Company’s financial condition or cash flows, or both, or could otherwise adversely affect the Company’s reputation and future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The outcomes of legal proceedings and other contingencies are, however, inherently unpredictable and subject to significant uncertainties. The Company is not presently a party to any legal proceedings that,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determined adversely to the Company, would have a material adverse effect on the Company's condensed consolidated financial statements or statements of cash flows.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Purchase Obligations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has contractual commitments for services with third-parties related to hosting and internal software systems. These commitments are non-cancellable and expire within one to four years. The Company had unconditional purchase obligations as of June 30, 2026 as follows:</w:t>
      </w:r>
    </w:p>
    <w:tbl>
      <w:tblPr>
        <w:tblW w:w="4508" w:type="dxa"/>
        <w:jc w:val="left"/>
        <w:tblInd w:w="0" w:type="dxa"/>
        <w:tblLayout w:type="fixed"/>
        <w:tblCellMar>
          <w:top w:w="28" w:type="dxa"/>
          <w:left w:w="28" w:type="dxa"/>
          <w:bottom w:w="28" w:type="dxa"/>
          <w:right w:w="28" w:type="dxa"/>
        </w:tblCellMar>
      </w:tblPr>
      <w:tblGrid>
        <w:gridCol w:w="2626"/>
        <w:gridCol w:w="146"/>
        <w:gridCol w:w="367"/>
        <w:gridCol w:w="1178"/>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six months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tax-qualified 401(k) defined contribution retirement plan for its U.S. employees (the "Plan"). The Plan allows for eligible employees to participate by contributing a portion of their compensation on a pre-tax basis, subject to annual limits established by the Internal Revenue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matches fifty percent of the first six percent of eligible compensation contributed by a participating U.S. employee to the Plan. Matching contributions are recognized as compensation expense in the period in which the associated employee services are rendered. For the three months ended June 30, 2026 and 2025, the Company recorded $0.6 million and $0.7 million, respectively, in compensation expense related to employer matching contributions to the Plan, and recorded $1.3 million and $1.4 million, respectively for the six months ended June 30, 2026 and 2025. </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Operating leases, right-of-use assets and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or subleases facilities under operating lease agreements that expire at various dates through 2031. Some of these arrangements contain renewal options and require the Company to pay taxes, insurance and maintenance costs. Operating lease right-of-use assets and operating lease liabilities are recognized at the lease commencement date based on the present value of the lease payments over the lease term. Right-of-use assets also include adjustments related to deferred lease payments and lease incentives. Renewal options were not included in the right-of-use asset and operating lease liability calculation. As of June 30, 2026, there were no finance leases. There was no impairment recorded for leases for the three and six months ended June 30, 2026 and 2025.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Operating lease expense was $0.5 million and $0.4 million for the three months ended June 30, 2026 and 2025, respectively, and was $1.0 million and $0.6 million for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maturities of operating lease liabilities are as follows:</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656"/>
        <w:gridCol w:w="146"/>
        <w:gridCol w:w="367"/>
        <w:gridCol w:w="1178"/>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six months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fiscal 2025, the Company committed to a plan (the “2025 Restructure”) to realign the Company’s current workforce with the Company’s on-going cost structure. The decision to implement the 2025 Restructure is based on continuous improvement efforts to optimize operational costs and efficiencies across fiscal 2026 intended to better position the Company for continued profitable revenue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2025 Restructure, restructuring charges are primarily comprised of severance payments, professional services, contract costs, accelerated depreciation of internal use software and other related costs. Within the condensed consolidated balance sheet, the liability for 2025 Restructuring charges of $1.5 million as of June 30, 2026, is recorded to other current liabilities. These charges were recorded within Restructuring Charges on the accompanying condensed consolidated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to incur additional costs relating to the 2025 Restructure of approximately $1.0 million to $3.0 million through the first half of fiscal 2027 relating to relocation and retention benefits and professional services costs. The additional expenses the Company expects to incur are subject to assumptions, and actual expenses may differ from the estimates disclosed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activities related to the Company's 2025 Restructure:</w:t>
      </w:r>
    </w:p>
    <w:p>
      <w:pPr>
        <w:pStyle w:val="TextBody"/>
        <w:bidi w:val="0"/>
        <w:spacing w:before="120" w:after="283"/>
        <w:jc w:val="left"/>
        <w:rPr/>
      </w:pPr>
      <w:r>
        <w:rPr/>
        <w:t> </w:t>
      </w:r>
    </w:p>
    <w:tbl>
      <w:tblPr>
        <w:tblW w:w="10641" w:type="dxa"/>
        <w:jc w:val="left"/>
        <w:tblInd w:w="0" w:type="dxa"/>
        <w:tblLayout w:type="fixed"/>
        <w:tblCellMar>
          <w:top w:w="28" w:type="dxa"/>
          <w:left w:w="28" w:type="dxa"/>
          <w:bottom w:w="28" w:type="dxa"/>
          <w:right w:w="28" w:type="dxa"/>
        </w:tblCellMar>
      </w:tblPr>
      <w:tblGrid>
        <w:gridCol w:w="1006"/>
        <w:gridCol w:w="225"/>
        <w:gridCol w:w="676"/>
        <w:gridCol w:w="166"/>
        <w:gridCol w:w="146"/>
        <w:gridCol w:w="233"/>
        <w:gridCol w:w="533"/>
        <w:gridCol w:w="166"/>
        <w:gridCol w:w="146"/>
        <w:gridCol w:w="338"/>
        <w:gridCol w:w="773"/>
        <w:gridCol w:w="166"/>
        <w:gridCol w:w="146"/>
        <w:gridCol w:w="211"/>
        <w:gridCol w:w="631"/>
        <w:gridCol w:w="166"/>
        <w:gridCol w:w="146"/>
        <w:gridCol w:w="243"/>
        <w:gridCol w:w="658"/>
        <w:gridCol w:w="166"/>
        <w:gridCol w:w="146"/>
        <w:gridCol w:w="233"/>
        <w:gridCol w:w="533"/>
        <w:gridCol w:w="166"/>
        <w:gridCol w:w="146"/>
        <w:gridCol w:w="278"/>
        <w:gridCol w:w="833"/>
        <w:gridCol w:w="166"/>
        <w:gridCol w:w="146"/>
        <w:gridCol w:w="211"/>
        <w:gridCol w:w="631"/>
        <w:gridCol w:w="211"/>
      </w:tblGrid>
      <w:tr>
        <w:trPr/>
        <w:tc>
          <w:tcPr>
            <w:tcW w:w="10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6"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6"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Workforce reduction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Costs and Internal Use Software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Restructuring Charges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Workforce reduction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Costs and Internal Use Software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Restructuring Charges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beginning of the period</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charges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end of the period</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Other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other current liabilities:</w:t>
      </w:r>
    </w:p>
    <w:p>
      <w:pPr>
        <w:pStyle w:val="TextBody"/>
        <w:bidi w:val="0"/>
        <w:jc w:val="left"/>
        <w:rPr/>
      </w:pPr>
      <w:r>
        <w:rPr/>
        <w:t> </w:t>
      </w:r>
    </w:p>
    <w:tbl>
      <w:tblPr>
        <w:tblW w:w="6345" w:type="dxa"/>
        <w:jc w:val="left"/>
        <w:tblInd w:w="0" w:type="dxa"/>
        <w:tblLayout w:type="fixed"/>
        <w:tblCellMar>
          <w:top w:w="28" w:type="dxa"/>
          <w:left w:w="28" w:type="dxa"/>
          <w:bottom w:w="28" w:type="dxa"/>
          <w:right w:w="28" w:type="dxa"/>
        </w:tblCellMar>
      </w:tblPr>
      <w:tblGrid>
        <w:gridCol w:w="3061"/>
        <w:gridCol w:w="146"/>
        <w:gridCol w:w="271"/>
        <w:gridCol w:w="869"/>
        <w:gridCol w:w="146"/>
        <w:gridCol w:w="146"/>
        <w:gridCol w:w="360"/>
        <w:gridCol w:w="1155"/>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payroll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convertible note obligations, including the level within the fair value hierarchy (see note 4. Fair Value Measurements), are as follows:</w:t>
      </w:r>
    </w:p>
    <w:p>
      <w:pPr>
        <w:pStyle w:val="TextBody"/>
        <w:bidi w:val="0"/>
        <w:jc w:val="both"/>
        <w:rPr/>
      </w:pPr>
      <w:r>
        <w:rPr/>
        <w:t> </w:t>
      </w:r>
    </w:p>
    <w:tbl>
      <w:tblPr>
        <w:tblW w:w="11861" w:type="dxa"/>
        <w:jc w:val="left"/>
        <w:tblInd w:w="0" w:type="dxa"/>
        <w:tblLayout w:type="fixed"/>
        <w:tblCellMar>
          <w:top w:w="28" w:type="dxa"/>
          <w:left w:w="28" w:type="dxa"/>
          <w:bottom w:w="28" w:type="dxa"/>
          <w:right w:w="28" w:type="dxa"/>
        </w:tblCellMar>
      </w:tblPr>
      <w:tblGrid>
        <w:gridCol w:w="1096"/>
        <w:gridCol w:w="146"/>
        <w:gridCol w:w="213"/>
        <w:gridCol w:w="793"/>
        <w:gridCol w:w="146"/>
        <w:gridCol w:w="283"/>
        <w:gridCol w:w="768"/>
        <w:gridCol w:w="166"/>
        <w:gridCol w:w="211"/>
        <w:gridCol w:w="781"/>
        <w:gridCol w:w="146"/>
        <w:gridCol w:w="211"/>
        <w:gridCol w:w="781"/>
        <w:gridCol w:w="146"/>
        <w:gridCol w:w="202"/>
        <w:gridCol w:w="294"/>
        <w:gridCol w:w="146"/>
        <w:gridCol w:w="213"/>
        <w:gridCol w:w="793"/>
        <w:gridCol w:w="146"/>
        <w:gridCol w:w="283"/>
        <w:gridCol w:w="768"/>
        <w:gridCol w:w="166"/>
        <w:gridCol w:w="211"/>
        <w:gridCol w:w="781"/>
        <w:gridCol w:w="146"/>
        <w:gridCol w:w="211"/>
        <w:gridCol w:w="781"/>
        <w:gridCol w:w="146"/>
        <w:gridCol w:w="202"/>
        <w:gridCol w:w="294"/>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Outstanding </w:t>
              <w:br/>
              <w:t>Principal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convertible note premium and issuance costs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Outstanding </w:t>
              <w:br/>
              <w:t>Principal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convertible note premium and issuance costs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9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9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carrying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fair value was calculated using a binomial lattice model which incorporates the terms and conditions of the convertible notes and market-based risk measurement that are indirectly observable, such as market credit spread, and therefore are Level 3 investments. The lattice model produced an estimated fair value based on changes in the price of the underlying common share price over successive periods of time. An estimated yield based on market data was used to discount straight debt cash flows.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fair value is influenced by interest rates, the Company's stock price and is determined by prices observed in market trading. Since the market for trading of the 2026 Convertible Notes is not considered to be an active market, the estimated fair value is based on Level 2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details of the Company's convertible notes as of June 30, 2026 which are further discussed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3"/>
        <w:gridCol w:w="146"/>
        <w:gridCol w:w="1101"/>
        <w:gridCol w:w="883"/>
        <w:gridCol w:w="306"/>
        <w:gridCol w:w="982"/>
        <w:gridCol w:w="271"/>
        <w:gridCol w:w="260"/>
        <w:gridCol w:w="971"/>
        <w:gridCol w:w="146"/>
        <w:gridCol w:w="438"/>
        <w:gridCol w:w="1188"/>
        <w:gridCol w:w="146"/>
        <w:gridCol w:w="384"/>
        <w:gridCol w:w="1043"/>
        <w:gridCol w:w="197"/>
      </w:tblGrid>
      <w:tr>
        <w:trPr/>
        <w:tc>
          <w:tcPr>
            <w:tcW w:w="1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Issuance</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Interest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Outstanding Principal </w:t>
              <w:br/>
            </w:r>
            <w:r>
              <w:rPr>
                <w:rFonts w:ascii="Times New Roman" w:hAnsi="Times New Roman"/>
                <w:b/>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Conversion Rate for Each $1,000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Price per Share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2024</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10/1/2028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2021</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10/1/2026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$150.0 million principal amount of the 2028 Convertible Notes is held by a related party, who is an equity holder.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interest expense recognized related to the Company’s convertible notes and financing obligation consists of the following:</w:t>
      </w:r>
    </w:p>
    <w:p>
      <w:pPr>
        <w:pStyle w:val="TextBody"/>
        <w:bidi w:val="0"/>
        <w:jc w:val="left"/>
        <w:rPr/>
      </w:pPr>
      <w:r>
        <w:rPr/>
        <w:t> </w:t>
      </w:r>
    </w:p>
    <w:tbl>
      <w:tblPr>
        <w:tblW w:w="8735" w:type="dxa"/>
        <w:jc w:val="left"/>
        <w:tblInd w:w="0" w:type="dxa"/>
        <w:tblLayout w:type="fixed"/>
        <w:tblCellMar>
          <w:top w:w="28" w:type="dxa"/>
          <w:left w:w="28" w:type="dxa"/>
          <w:bottom w:w="28" w:type="dxa"/>
          <w:right w:w="28" w:type="dxa"/>
        </w:tblCellMar>
      </w:tblPr>
      <w:tblGrid>
        <w:gridCol w:w="3826"/>
        <w:gridCol w:w="146"/>
        <w:gridCol w:w="249"/>
        <w:gridCol w:w="676"/>
        <w:gridCol w:w="196"/>
        <w:gridCol w:w="172"/>
        <w:gridCol w:w="249"/>
        <w:gridCol w:w="676"/>
        <w:gridCol w:w="166"/>
        <w:gridCol w:w="146"/>
        <w:gridCol w:w="227"/>
        <w:gridCol w:w="616"/>
        <w:gridCol w:w="179"/>
        <w:gridCol w:w="157"/>
        <w:gridCol w:w="227"/>
        <w:gridCol w:w="616"/>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(premium)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2028 Convertible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2024, the Company entered into a privately negotiated exchange agreement (the "Exchange Agreement") with a holder of its 0.25 percent unsecured convertible senior notes due 2026 (the "2026 Convertible Notes"). Pursuant to the Exchange Agreement, the Company exchanged (the "Exchange Transaction") approximately $161.2 million in aggregate principal amount of the 2026 Convertible Notes for $150.0 million in aggregate principal amount of new 7.50 percent convertible senior notes due 2028 (the “2028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2028 Convertible Notes are senior, initially unsecured obligations of the Company and accrue interest at a rate of 7.50 percent per annum, payable semi-annually in arrears on April 1 and October 1 of each year, beginning on October 1, 2024. The 2028 Convertible Notes will mature on October 1, 2028, unless earlier converted, redeemed or repurchased by the Company. Before July 3, 2028, noteholders will have the right to convert their 2028 Convertible Notes only upon the occurrence of certain events. From and after July 3, 2028, noteholders may convert their 2028 Convertible Notes at any time at their election until the close of business on the second scheduled trading day immediately before the maturity date. The Company will settle conversions by paying or delivery, as applicable, cash, shares of its common stock or a combination of cash and shares of its common stock, at the Company's election. The 2028 Convertible Notes will be convertible with an initial conversion rate of 62.5000 shares of common stock per $1,000 principal amount of 2028 Convertible Notes, which represents an initial conversion price of $16.00 per share of common stock, when certain conditions are met. The conversion rate and conversion price will be subject to adjustments related to standard anti-dilution provisions upon the occurrence of certain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not redeem the 2028 Convertible Notes prior to October 7, 2026. The 2028 Convertible Notes will be redeemable, in whole or in part (subject to certain limitations), for cash at the Company’s option at any time, and from time to time, on or after October 7, 2026 and on or before the 25th scheduled trading day immediately before the maturity date, but only if the last reported sale price per share of the Company’s common stock exceeds 130 percent of the conversion price for a specified period of time and certain other conditions are satisfied. The redemption price will be equal to the principal amount of the 2028 Convertible Notes to be redeemed, plus accrued and unpaid interest, if any, up to, but excluding, the redemption date. In addition, calling any 2028 Convertible Note for redemption will constitute a Make-Whole Fundamental Change with respect to that 2028 Convertible Note, in which case the conversion rate applicable to the conversion of that 2028 Convertible Note will be increased in certain circumstances if it is converted after it is called for redemption. Pursuant to the Partial Redemption Limitation, the Company may not elect to redeem less than all of the outstanding 2028 Convertible Notes unless at least $100.0 million aggregate principal amount of 2028 Convertible Notes are outstanding and not subject to redemption as of the time the Company sends the related redemption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“fundamental change” (as defined in the indenture for the 2028 Convertible Notes) occurs, then, subject to a limited exception, noteholders may require the Company to repurchase their 2028 Convertible Notes for cash. The repurchase price will be equal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principal amount of the 2028 Convertible Notes to be repurchased, plus accrued and unpaid interest, if any, up to, but excluding, the applicable repurchase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approximately $150.0 million aggregate principal amount of 2028 Convertible Notes remain outstanding. The remaining unamortized debt issuance costs are recorded as a contra-liability and are amortized utilizing the effective interest rate of approximately 8 percent over the term of the 2028 Convertible Notes. The remaining unamortized premium related to the fair value adjustment of the 2028 Convertible Notes is amortized using an effective interest rate of approximately 6 percent. The Company is in compliance with the terms of the indenture, and has not experienced any events that would constitute an event of default.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2026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approximately $4.1 million principal amount of 2026 Convertible Notes remain outstanding. The remaining unamortized debt issuance costs are recorded as a contra-liability and are amortized utilizing the effective interest rate of 0.73 percent over the term of the 2026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in compliance with the terms of the indenture, and has not experienced any events that would constitute an Event of Default under the 2026 Convertible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Stockholders’ equity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2020, the Company adopted the 2020 Equity Incentive Plan, or “2020 Plan”, under which stock options, stock appreciation rights, restricted stock, restricted stock units, performance-based restricted stock units and other cash-based or stock-based awards may be granted to employees, consultants and directors. Shares of common stock that are issued and available for issuance under the 2020 Plan consist of authorized, but unissued or reacquired shares of common stock or any combination thereof. The Company has granted awards of stock options, restricted stock units, and market-based and performance-based restricted stock units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total of 3,873,885 shares of common stock were initially authorized and reserved for issuance under the 2020 Plan. This share reserve automatically increased, and will continue to increase, on each subsequent January 1st through and including January 1, 2031, by an amount equal to the smaller of (a) 5 percent of the number of shares of common stock issued and outstanding on the immediately preceding December 31 and (b) an amount determined by the board of directors. On January 1, 2026 and 2025 the share reserve increased by 4,082,622 shares and 3,928,833 shares,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June 30, 2026, the Company's Board of Directors approved the adoption of a stockholder rights plan and declared a dividend distribution of one preferred share purchase right on each outstanding share of the Company's Common Stock. Each right will entitle stockholders to buy one one-thousandth of a share of the Company's Series A Junior Participating Preferred Stock at an exercise price of $13.00 per one one-thousandth of a share, subject to adjustment. The dividend was payable to holders of record as of the close of business on April 27,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rights will be exercisable only if a person or group acquires 10% or more (or 20% or more in the case of a Passive Institutional Investor) of the Company's outstanding common stock and various other criteria are met (the “Distribution Date”). Until the Distribution Date, the rights will not be exercisable; the rights will not be evidenced by separate rights certificates; and the rights will be transferable by, and only in connection with, the transfer of common stock. The rights will expire on April 12, 2027, unless earlier redeemed or exchanged by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options generally vest and become exercisable over a service period of 4 years from the date of grant, subject to continued service. The Company has not granted and does not anticipate granting stock options in fiscal 2026.</w:t>
      </w:r>
    </w:p>
    <w:p>
      <w:pPr>
        <w:pStyle w:val="TextBody"/>
        <w:bidi w:val="0"/>
        <w:jc w:val="left"/>
        <w:rPr/>
      </w:pPr>
      <w:r>
        <w:rPr/>
        <w:t> </w:t>
      </w:r>
    </w:p>
    <w:tbl>
      <w:tblPr>
        <w:tblW w:w="9283" w:type="dxa"/>
        <w:jc w:val="left"/>
        <w:tblInd w:w="0" w:type="dxa"/>
        <w:tblLayout w:type="fixed"/>
        <w:tblCellMar>
          <w:top w:w="28" w:type="dxa"/>
          <w:left w:w="28" w:type="dxa"/>
          <w:bottom w:w="28" w:type="dxa"/>
          <w:right w:w="28" w:type="dxa"/>
        </w:tblCellMar>
      </w:tblPr>
      <w:tblGrid>
        <w:gridCol w:w="2821"/>
        <w:gridCol w:w="146"/>
        <w:gridCol w:w="204"/>
        <w:gridCol w:w="802"/>
        <w:gridCol w:w="166"/>
        <w:gridCol w:w="146"/>
        <w:gridCol w:w="682"/>
        <w:gridCol w:w="1853"/>
        <w:gridCol w:w="146"/>
        <w:gridCol w:w="146"/>
        <w:gridCol w:w="534"/>
        <w:gridCol w:w="1446"/>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shares expired or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there was an estimated $2.2 million of total unrecognized compensation expense related to stock options, which reflects outstanding stock option awards that are vested and outstanding stock option awards that are expected to vest. This expense will be recognized over a weighted-average period of 2.22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RSU activity for the six months ended June 30, 2026 was as follows: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tbl>
      <w:tblPr>
        <w:tblW w:w="9913" w:type="dxa"/>
        <w:jc w:val="left"/>
        <w:tblInd w:w="0" w:type="dxa"/>
        <w:tblLayout w:type="fixed"/>
        <w:tblCellMar>
          <w:top w:w="28" w:type="dxa"/>
          <w:left w:w="28" w:type="dxa"/>
          <w:bottom w:w="28" w:type="dxa"/>
          <w:right w:w="28" w:type="dxa"/>
        </w:tblCellMar>
      </w:tblPr>
      <w:tblGrid>
        <w:gridCol w:w="2821"/>
        <w:gridCol w:w="146"/>
        <w:gridCol w:w="189"/>
        <w:gridCol w:w="817"/>
        <w:gridCol w:w="166"/>
        <w:gridCol w:w="146"/>
        <w:gridCol w:w="986"/>
        <w:gridCol w:w="2179"/>
        <w:gridCol w:w="146"/>
        <w:gridCol w:w="146"/>
        <w:gridCol w:w="471"/>
        <w:gridCol w:w="1509"/>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C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2179" w:type="dxa"/>
            <w:tcBorders/>
            <w:shd w:fill="C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tcBorders/>
            <w:shd w:fill="C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91"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converted to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DEE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D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bottom w:val="single" w:sz="4" w:space="0" w:color="000000"/>
            </w:tcBorders>
            <w:shd w:fill="CD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D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bottom w:val="single" w:sz="4" w:space="0" w:color="000000"/>
            </w:tcBorders>
            <w:shd w:fill="CD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46" w:type="dxa"/>
            <w:tcBorders>
              <w:bottom w:val="single" w:sz="4" w:space="0" w:color="000000"/>
            </w:tcBorders>
            <w:shd w:fill="CD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D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bottom w:val="single" w:sz="4" w:space="0" w:color="000000"/>
            </w:tcBorders>
            <w:shd w:fill="CD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17,552</w:t>
            </w:r>
          </w:p>
        </w:tc>
        <w:tc>
          <w:tcPr>
            <w:tcW w:w="191" w:type="dxa"/>
            <w:tcBorders>
              <w:bottom w:val="single" w:sz="4" w:space="0" w:color="000000"/>
            </w:tcBorders>
            <w:shd w:fill="CDEE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expected stock-based compensation expense remaining to be recognized as of June 30, 2026 is $18.0 million related to RSUs, which reflects outstanding RSUs that are vested and outstanding RSUs that are expected to vest. This expense will be recognized over a weighted-average period of 2.48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Market-based PSU and performance-based PSU activity for the six months ended June 30, 2026 was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72"/>
        <w:gridCol w:w="146"/>
        <w:gridCol w:w="204"/>
        <w:gridCol w:w="802"/>
        <w:gridCol w:w="166"/>
        <w:gridCol w:w="146"/>
        <w:gridCol w:w="952"/>
        <w:gridCol w:w="2104"/>
        <w:gridCol w:w="146"/>
        <w:gridCol w:w="146"/>
        <w:gridCol w:w="520"/>
        <w:gridCol w:w="1408"/>
        <w:gridCol w:w="193"/>
      </w:tblGrid>
      <w:tr>
        <w:trPr/>
        <w:tc>
          <w:tcPr>
            <w:tcW w:w="3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awards based on 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converted to shares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2" w:type="dxa"/>
            <w:tcBorders/>
            <w:shd w:fill="C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DEE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D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bottom w:val="double" w:sz="6" w:space="0" w:color="000000"/>
            </w:tcBorders>
            <w:shd w:fill="CD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bottom w:val="double" w:sz="6" w:space="0" w:color="000000"/>
            </w:tcBorders>
            <w:shd w:fill="CD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4" w:type="dxa"/>
            <w:tcBorders>
              <w:bottom w:val="double" w:sz="6" w:space="0" w:color="000000"/>
            </w:tcBorders>
            <w:shd w:fill="CD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bottom w:val="double" w:sz="6" w:space="0" w:color="000000"/>
            </w:tcBorders>
            <w:shd w:fill="CD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bottom w:val="double" w:sz="6" w:space="0" w:color="000000"/>
            </w:tcBorders>
            <w:shd w:fill="CD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8" w:type="dxa"/>
            <w:tcBorders>
              <w:bottom w:val="double" w:sz="6" w:space="0" w:color="000000"/>
            </w:tcBorders>
            <w:shd w:fill="CD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93" w:type="dxa"/>
            <w:tcBorders>
              <w:bottom w:val="double" w:sz="6" w:space="0" w:color="000000"/>
            </w:tcBorders>
            <w:shd w:fill="CD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grant date fair value of the market-based awards issued in March and May was $3.29. Significant assumptions used in the Monte Carlo simulation model for the market-based PSU awards granted are as follows:</w:t>
      </w:r>
    </w:p>
    <w:p>
      <w:pPr>
        <w:pStyle w:val="TextBody"/>
        <w:bidi w:val="0"/>
        <w:jc w:val="left"/>
        <w:rPr/>
      </w:pPr>
      <w:r>
        <w:rPr/>
        <w:t> </w:t>
      </w:r>
    </w:p>
    <w:tbl>
      <w:tblPr>
        <w:tblW w:w="4061" w:type="dxa"/>
        <w:jc w:val="left"/>
        <w:tblInd w:w="0" w:type="dxa"/>
        <w:tblLayout w:type="fixed"/>
        <w:tblCellMar>
          <w:top w:w="28" w:type="dxa"/>
          <w:left w:w="28" w:type="dxa"/>
          <w:bottom w:w="28" w:type="dxa"/>
          <w:right w:w="28" w:type="dxa"/>
        </w:tblCellMar>
      </w:tblPr>
      <w:tblGrid>
        <w:gridCol w:w="1846"/>
        <w:gridCol w:w="146"/>
        <w:gridCol w:w="916"/>
        <w:gridCol w:w="181"/>
        <w:gridCol w:w="972"/>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expected stock-based compensation expense remaining to be recognized as of June 30, 2026 is $2.68 million which reflects market-based and performance-based PSUs that are outstanding and expected to vest. This expense will be recognized over a weighted-average period of 1.39 years.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Income taxes</w:t>
      </w:r>
    </w:p>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tax expense for the three and six months ended June 30, 2026 is based on the estimated annual effective tax rate for fiscal 2026. The Company’s provision for income taxes is based on estimated effective tax rates derived from an estimate of annual consolidated earnings before taxes, adjusted for nondeductible expenses, other permanent items, valuation allowances, and any applicable income tax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calculating income tax expense, the Company continued to maintain a full valuation allowance on our U.S. federal and state net deferred tax assets as it was more likely than not that those deferred tax assets will not be realized. However, given the Company's recent net income, in accordance with our policy, the Company will continue to monitor the positive and negative evidence, and will adjust the valuation allowance as sufficient positive evidence becomes available. The exact timing and amount of the valuation allowance release would be subject to change based on the level of profitability that the Company can achieve.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and 2025, the Company’s provision for income taxes reflected an effective tax rate of (15.62) percent and (2.71) percent, respectively. For the six months ended June 30, 2026 and 2025, the Company had an effective tax rate of (11.96) percent and (9.32) percent,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and 2025, the Company’s effective tax rate was lower than the U.S. federal statutory rate of 21 percent primarily due to the Company's valuation allowance offsetting the benefits of losses. The Company’s total income tax expense consists primarily of state current income tax expense unable to be offset by attributes, deferred income tax expense relating to the tax amortization of acquired goodwill, and current income tax expense from foreign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losses and tax credits generated in years prior to 2022 remain open to adjustment until the statute of limitations closes for the tax year in which the net operating losses are utilized. Tax years 2022 through 2025 generally remain open to examination by the major taxing jurisdictions to which the Company is subject.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income (loss) per share is computed by dividing net income (loss) by the number of shares of common stock outstanding for the period. Diluted net income per share is computed by giving effect to all potential weighted average dilutive common stock, including options and restricted stock units. The dilutive effect of outstanding awards is reflected in diluted net income per share by application of the treasury stock method. </w:t>
      </w:r>
    </w:p>
    <w:tbl>
      <w:tblPr>
        <w:tblW w:w="10205" w:type="dxa"/>
        <w:jc w:val="left"/>
        <w:tblInd w:w="0" w:type="dxa"/>
        <w:tblLayout w:type="fixed"/>
        <w:tblCellMar>
          <w:top w:w="28" w:type="dxa"/>
          <w:left w:w="28" w:type="dxa"/>
          <w:bottom w:w="28" w:type="dxa"/>
          <w:right w:w="28" w:type="dxa"/>
        </w:tblCellMar>
      </w:tblPr>
      <w:tblGrid>
        <w:gridCol w:w="5272"/>
        <w:gridCol w:w="146"/>
        <w:gridCol w:w="224"/>
        <w:gridCol w:w="719"/>
        <w:gridCol w:w="154"/>
        <w:gridCol w:w="154"/>
        <w:gridCol w:w="224"/>
        <w:gridCol w:w="719"/>
        <w:gridCol w:w="166"/>
        <w:gridCol w:w="146"/>
        <w:gridCol w:w="211"/>
        <w:gridCol w:w="676"/>
        <w:gridCol w:w="146"/>
        <w:gridCol w:w="146"/>
        <w:gridCol w:w="211"/>
        <w:gridCol w:w="676"/>
        <w:gridCol w:w="215"/>
      </w:tblGrid>
      <w:tr>
        <w:trPr/>
        <w:tc>
          <w:tcPr>
            <w:tcW w:w="5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Effect of dilutive shares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Performance-based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for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82,790</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Due to the Company reporting net loss for the three and six months ended June 30, 2025, there are no common shares added to calculate diluted EPS because the effect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 of weighted-average shares outstanding for diluted net income per share because the effect would be anti-dilutive:</w:t>
      </w:r>
    </w:p>
    <w:p>
      <w:pPr>
        <w:pStyle w:val="TextBody"/>
        <w:bidi w:val="0"/>
        <w:jc w:val="left"/>
        <w:rPr/>
      </w:pPr>
      <w:r>
        <w:rPr/>
        <w:t> </w:t>
      </w:r>
    </w:p>
    <w:tbl>
      <w:tblPr>
        <w:tblW w:w="5649" w:type="dxa"/>
        <w:jc w:val="left"/>
        <w:tblInd w:w="0" w:type="dxa"/>
        <w:tblLayout w:type="fixed"/>
        <w:tblCellMar>
          <w:top w:w="28" w:type="dxa"/>
          <w:left w:w="28" w:type="dxa"/>
          <w:bottom w:w="28" w:type="dxa"/>
          <w:right w:w="28" w:type="dxa"/>
        </w:tblCellMar>
      </w:tblPr>
      <w:tblGrid>
        <w:gridCol w:w="3376"/>
        <w:gridCol w:w="146"/>
        <w:gridCol w:w="146"/>
        <w:gridCol w:w="676"/>
        <w:gridCol w:w="146"/>
        <w:gridCol w:w="146"/>
        <w:gridCol w:w="146"/>
        <w:gridCol w:w="676"/>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potentially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 “can,” “continue,” “could,” “estimate,” “expect,” “intend,” “may,” “ongoing,” “plan,” “potential,” “predict,” “project,” “should,” “will,” and similar words or phrases. These forward-looking statements include statements concerning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revenue, expenses, sales,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trends and challenges in our business and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and future geopolitical conflicts, including those involving Iran, Israel, and the United States, and the Russia-Ukraine conflict, could adversely affect our operations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changes in United States trade policy and global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areas of investments and expectations relating to such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cash needs and our estimates</w:t>
        <w:br/>
        <w:t>regarding our capital requirements and refinancing;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our industry and innovation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anticipate market needs or develop new or enhanced services to meet those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growth and to expand our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social, ethical, or regulatory issues involving the development, deployment, and use capabilities of AI;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expansion into international markets and new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hire and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identify, manage, and integrate any existing and potential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execute our rebranding initiative;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adapt to emerging regulatory developments, technological changes, and cybersecurity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effect on our business of litigation to which we are or may become a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benefits and opportunities related to past and ongoing restructuring may not be realized or may take longer to realize than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defects or disruptions in our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services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attrition or our ability to execute renewals;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key executive succession and retention or continue to attract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a go-to-market strategy that focuses on efficient profitable revenue growth, operating leverage, and cash flow, may be impacted by unforeseen challenges in streamlining our organization and adapting to market dynamics;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statements described in this Quarterly Report on Form 10-Q under “Risk Factors,” and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believe the expectations reflected in these forward-looking statements are reasonable, these statements are not guarantees of future performance and involve risks and uncertainties which are subject to change based on various important factors, some of which are beyond our control. For more information regarding these risks and uncertainties as well as certain additional risks that we face, refer to “Risk Factors” in Part I, Item 1A of our Annual Report on Form 10-K for the fiscal year ended December 31, 2025, filed on March 2, 2026 (our "Annual Report") and “Risk Factors,” in this Quarterly Report on Form 10-Q as well as factors more fully described in “Management’s Discussion and Analysis of Financial Condition and Results of Operations” and elsewhere in this Quarterly Report on Form 10-Q.</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one or more of the factors affecting the expectations reflected in our forward-looking information and statements proves incorrect, our actual results, performance, or achievements could differ materially from those expressed in, or implied by, forward-looking information and statements. Therefore, we caution the reader not to place undue reliance on any forward-looking information or statements. The effect of these factors is difficult to predict. Factors other than these also could adversely affect our results, and the reader should not consider these factors to be a complete set of all potential risks or uncertainties. New factors emerge from time to time, and management cannot assess the impact of any such factor on our business or the extent to which any factor, or combination of factors, may cause results to differ materially from those contained in any forward-looking statement. Any forward-looking statements only speak as of the date of this document, and we undertake no obligation to update any forward-looking information or statements, whether written or oral, to reflect any change, except as required by law. All forward-looking statements attributable to us are expressly qualified by these cautionary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jc w:val="both"/>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bookmarkStart w:id="11" w:name="d844671ds1_htm_rom844671_10a"/>
      <w:bookmarkEnd w:id="11"/>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In addition to historical condensed consolidated financial information, the following discussion contains forward-looking statements that involve risks and uncertainties. Our actual results could differ materially from those discussed in the forward-looking statements. Factors that could cause or contribute to these differences include those discussed below and elsewhere in this Quarterly Report on Form 10-Q, particularly in “Risk Factors.” See “Special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Investors and others should note that we announce material financial information to our investors using our investor relations website (investors.commerce.com), SEC filings, press releases, public conference calls and webcasts. We intend to use our investor relations website as a means of disclosing information about our business, our financial condition and results of operations and other matters and for complying with our disclosure obligations under Regulation FD. The information we post on our investor relations website, including information contained in investor presentations, may be deemed material. Accordingly, investors should monitor our investor relations website, in addition to following our press releases, SEC filings and public conference calls and webcasts. The information on our website, however, is not, and should not be deemed to be, a part of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we are well positioned to serve as a provider of an open, AI-driven commerce platform designed to support data-centric, distributed, and orchestrated commerce. Our platform is designed to extend the storefront across an expanding set of product discovery and shopping surfaces, enhancing merchant visibility and engagement, and to support how businesses operate, innovate, and grow as AI-driven and agent-enabled commerce continues to evolve. Our software-as-a-service platform enables merchants to orchestrate sophisticated digital commerce experiences across both owned and third-party channels, supporting a wide range of business-to-business ("B2B"), business-to-consumer ("B2C"), and small business ("SB") use cases.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unified platform is anchored by three complementary layers that together enable merchants to manage commerce across increasingly fragmented digital environments. BigCommerce serves as our transaction layer, executing transactions and commerce logic. Feedonomics serves as our product intelligence layer, helping merchants structure, enrich, optimize and distribute product data across marketplaces, advertising channels, and emerging AI-powered discovery surfaces. Makeswift serves as our experience layer, enabling merchants to compose and govern digital experiences across web, mobile, and emerging AI interfaces. Together, these products enable merchants to centralize product data, deliver dynamic shopping experiences, and improve visibility across a growing set of discovery and buying channels while supporting increasingly complex commerce workflows.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built around an open, partner-centric architecture. Rather than offering a closed technology stack, we prioritize flexibility and interoperability with a curated ecosystem of leading technology partners. Our platform integrates across payments, tax, shipping, order management, content management system ("CMS"), customer relationship management ("CRM"), and AI-enhanced marketing technology. Our platform is designed to serve as merchant's complete commerce solution or integrate alongside existing commerce technologies, enabling customers to adopt the solutions that best meet their business needs. We believe this approach differentiates us from competitors that seek to control the full commerce technology stack by allowing us to focus our innovation and investment on core commerce capabilities, data orchestration, and platform extensibility while enabling merchants to select best-of-breed solutions that meet their specific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Digital commerce continues to evolve as consumer discovery and purchasing behavior increasingly occur across AI-powered and third-party digital surfaces rather than exclusively through merchants' owned storefronts. We provide the structured product data, composable technology, and scalable infrastructure that help merchants remain discoverable, trustworthy, and capable of transacting wherever those journeys begin. We believe our integrated platform helps merchants address these evolving requirements by connecting product intelligence, digital experiences, and transaction capabilities across an expanding ecosystem of commerce channels.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continue investing in our strategic B2B, B2C, and SB offerings, with an emphasis on simplifying our business, realigning investment toward our highest-value initiatives, and building scalable infrastructure to support AI-enabled and agentic commerce use cases. We intend to prioritize initiatives and strategic partnerships that we believe deliver the greatest long-term value for merchants while simplifying execution and strengthening our platform. We expect to advance our growth strategy through continued product innovation, expansion of strategic partnerships, and development of AI-driven commerce solutions that address increasingly complex merchant needs. We also intend to grow our business by acquiring new customers, expanding adoption and usage among existing customers, mitigating churn, and selectively expanding our presence in new markets, while maintaining a disciplined focus on operating efficiency, profitability,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sz w:val="20"/>
        </w:rPr>
      </w:pPr>
      <w:r>
        <w:rPr>
          <w:rFonts w:ascii="Times New Roman" w:hAnsi="Times New Roman"/>
          <w:color w:val="000000"/>
          <w:sz w:val="20"/>
        </w:rPr>
        <w:t>Our operational and financial results have been, and will continue to be, affected by a number of factors that present significant opportunities as well as risks and challenges, including those discussed below and elsewhere in this quarterly report and in our Annual Report</w:t>
      </w:r>
      <w:r>
        <w:rPr>
          <w:rFonts w:ascii="Times New Roman" w:hAnsi="Times New Roman"/>
          <w:color w:val="000000"/>
          <w:sz w:val="24"/>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Leveraging artificial intelligence to drive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 has become a core component of our strategic and operational framework, supporting key initiatives across product development, customer experience, and go-to-market execution. Our AI strategy is focused on delivering practical, merchant-facing outcomes, including improved product discoverability, higher conversion, and more intelligent storefront and shopping experiences. These efforts are focused on improving usability and efficiency while seeking to limit incremental technical complexity for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platform is designed to address these requirements through three complementary layers. Feedonomics serves as our product intelligence layer, enabling merchants to normalize, enrich, and syndicate product data across storefronts, marketplaces, advertising channels, and certain AI-powered discovery surfaces. Makeswift serves as our experience layer, allowing merchants to create, manage, and govern digital experiences across web, mobile, and emerging interfaces, including those supported by AI technologies. BigCommerce serves as our transaction layer, providing core transaction functionality, including cart, checkout, order management, pricing, promotions, and related APIs.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 integration of these layers positions merchants to participate in the continued evolution of digital commerce as AI adoption increases and product discovery, customer engagement, and transaction execution become increasingly distributed across AI-enabled channels. Our open, API-first architecture allows merchants to deploy our platform as a full solution or alongside third-party systems as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embed AI capabilities across the commerce lifecycle in a practical and responsible manner while supporting merchants as commerce evolves toward more AI-enabled and agent-driven models.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in core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invest in our core commerce offerings to support growth across enterprise B2B and B2C customers, as well as SB use cases, with a disciplined focus on initiatives that we believe deliver the greatest long-term value for merchants and strengthen our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enterprise B2B customers, we continue to enhance our platform with features supporting complex commerce operations, including improvements to organizational management, purchasing workflows, pricing, and transaction execution. We also continue to expand B2B capabilities, including deeper integration within the BigCommerce platform, to provide a more unified user experience. We believe these investments help manufacturers, distributors, and other enterprise merchants streamline operations while supporting increasingly sophisticated commerce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continue to expand Feedonomics Surface, our self-service feed management solution for small and midsize businesses. We expanded Surface's channel availability, providing merchants with additional opportunities to syndicate optimized product data across advertising, marketplace, social, and emerging AI-powered discovery channels. We believe these enhancements simplify multichannel commerce, improve product visibility, and extend enterprise-grade product intelligence capabilities to a broader base of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Across our platform, we continue to invest in AI-enabled capabilities designed to improve in product discovery, automate merchant workflows, and support emerging agent-enabled commerce experiences. We also continue to enhance core commerce functionality, including checkout, promotions, storefront management, and catalog capabilities, while expanding BigCommerce Payments to provide merchants with a more integrated payments experience.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these investments reduce operational complexity, improve merchant outcomes, and position our platform to support the continued evolution of digital commerce as AI adoption, distributed product discovery, and agent-enabled commerce increasingly reshape how merchants engage with customers.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Expansion of growth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evaluate and refine our pricing, packaging, and monetization models to better align value delivered with value captured across our product portfolio. As part of these efforts, we continue to invest in strategic growth initiatives including, BigCommerce Payments, AI-enabled commerce capabilities, B2B solutions, Feedonomics Surface, and other platform enhancements that we believe strengthen merchant outcomes and support long-term monetization.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fiscal year 2026, we launched BigCommerce Payments, our integrated payment processing option designed primarily for small and mid-sized customers looking for a streamlined, integrated approach to activate payments, and simplify onboarding.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continued to expand adoption of BigCommerce Payments and believe it strengthens merchant relationships and enhances the merchant experience.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updated our plan structure, including plan names, GMV thresholds, and support tiers, and introduced a fee on certain orders processed through non-embedded payment providers for self-service merchants. We replaced our prior Standard, Plus, Pro, and Enterprise plans with Core, Growth, Scale, and Performance plans. These changes reflect our strategic decision to prioritize a more focused group of strategically aligned payment partners while maintaining merchant choice through our open and composable platform. We believe this approach improves merchant outcomes, strengthens alignment with key partners, and supports more durable long-term monetization, and enhances the long-term economics of our platform.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 of new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customer base remains important to our continued revenue growth. We believe we are positioned to grow through a combination of direct sales efforts, marketing initiatives, product-led growth channels, and referrals from our agency and technology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driving capital-efficient customer acquisition by leveraging our curated ecosystem of technology partners and prioritizing strategic partner relationships that deliver the best merchant outcomes while creating long-term, aligned economic value for Commerce. Our partner strategy is intended to enable customers to compose solutions that integrate with adjacent technology providers, including payments, fulfillment, ERP, marketing, and other categories, and may support demand generation through ecosystem-led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continually evaluate our ideal customer profiles, strategic priorities, and resource allocation to focus our investments on customers, industries, and use cases where we can deliver the greatest long-term value. Our unified platform supports enterprise B2B and B2C customers, as well as small businesses, through integrated commerce, product intelligence, and digital experiences capabilities designed to address increasingly complex and AI-enabled commerce environments.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Retention and growth of our existing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long-term revenue growth is correlated with our ability to retain customers and expand their adoption of our platform. We continue to invest in product innovation, platform functionality, and customer success initiatives to maximize customer retention and long-term merchant success. Revenue from existing customers may increase through subscription plan upgrades, additional store deployments, expanded adoption of BigCommerce Payments, Feedonomics, B2B capabilities, AI-enabled solutions, and broader utilization of our platform. As customers grow their commerce operations, subscription revenue may also increase through automated sales-based adjustments on certain plans and order-based adjustment on enterprise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 and services revenue generated through our strategic technology partners generally increases as customers adopt additional integrated solutions within our ecosystem. Our ability to retain and grow our customers’ commerce businesses often depends on the continued expansion of our platform and the capabilities of our strategic technology partners to provide revenue generating services to our customers. We continually evaluate prospective and existing partners’ abilities to enhance the capabilities of our customers’ commerce businesses. As our platform evolves, we believe our partner ecosystem will continue to support customer adoption and engagement while creating opportunities for sustainable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grow by selling additional stores to existing customers. Our larger customers will often first use our platform to build a single online store that serves a single brand within their portfolio. These customers can then expand their usage of our platform by launching additional stores to serve additional brands, geographies, or use cases (e.g., B2B in addition to B2C). We continue to invest in product innovation, platform functionality, and customer success initiatives to support retention and drive increased adoption across our unified Commerce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more tailored solutions through a broader range of product offerings has allowed us to build stronger, more personalized relationships with customers, which in turn has contributed to reduced churn. Our ability to maintain and improve net revenue retention is influenced by product performance and innovation, pricing and packing, and the overall growth of our customers' commerce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Evolution of our technology partner ecosystem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technology partner ecosystem remains central to our business strategy and long-term growth. We are built around an open, partner-centric architecture that enables merchants to integrate technologies across a broad range of commerce capabilities while allowing us to focus our investments on our core commerce platform, AI-enabled solutions, and platform extensibility.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our business has evolved, we have adopted a more disciplined approach to our partner ecosystem by prioritizing investment in a more focused group of strategically aligned technology partners where we believe we can deliver the greatest long-term value for merchants and strengthen our platform. We continue to concentrate our efforts on deeper strategic partner relationships that we believe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improve merchant outcomes and support more durable long-term economics, while maintaining merchant choice through our open and composable architecture.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review the following business metrics to measure our performance, identify trends affecting our business, formulate business plans, and make strategic decisions. Increases or decreases in our business metrics may not correspond with increases or decreases in our revenue. As an example, some of our business metrics include annual revenue run-rate ("ARR"), subscription annual revenue run-rate ("Subscription ARR") , average revenue per account ("ARPA"), and others are calculated as of the end of the last month of the reporting period.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Annual revenue run-rate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calculate ARR at the end of each month as the sum of: (1) contractual monthly recurring revenue at the end of the period, which includes platform subscription fees, invoiced growth adjustments, feed management subscription fees, recurring professional services revenue, and other recurring revenue, multiplied by twelve to prospectively annualize recurring revenue, and (2) the sum of the trailing twelve-month non-recurring and variable revenue, which includes one-time partner integrations, one-time fees, payments revenue share, and any other revenue that is non-recurring and variable.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revenue run-rate (ARR) as of the periods ended:</w:t>
      </w:r>
    </w:p>
    <w:p>
      <w:pPr>
        <w:pStyle w:val="TextBody"/>
        <w:bidi w:val="0"/>
        <w:jc w:val="left"/>
        <w:rPr/>
      </w:pPr>
      <w:r>
        <w:rPr/>
        <w:t> </w:t>
      </w:r>
    </w:p>
    <w:tbl>
      <w:tblPr>
        <w:tblW w:w="7842" w:type="dxa"/>
        <w:jc w:val="left"/>
        <w:tblInd w:w="0" w:type="dxa"/>
        <w:tblLayout w:type="fixed"/>
        <w:tblCellMar>
          <w:top w:w="28" w:type="dxa"/>
          <w:left w:w="28" w:type="dxa"/>
          <w:bottom w:w="28" w:type="dxa"/>
          <w:right w:w="28" w:type="dxa"/>
        </w:tblCellMar>
      </w:tblPr>
      <w:tblGrid>
        <w:gridCol w:w="1126"/>
        <w:gridCol w:w="146"/>
        <w:gridCol w:w="211"/>
        <w:gridCol w:w="781"/>
        <w:gridCol w:w="146"/>
        <w:gridCol w:w="146"/>
        <w:gridCol w:w="211"/>
        <w:gridCol w:w="781"/>
        <w:gridCol w:w="146"/>
        <w:gridCol w:w="146"/>
        <w:gridCol w:w="233"/>
        <w:gridCol w:w="862"/>
        <w:gridCol w:w="146"/>
        <w:gridCol w:w="146"/>
        <w:gridCol w:w="242"/>
        <w:gridCol w:w="898"/>
        <w:gridCol w:w="146"/>
        <w:gridCol w:w="146"/>
        <w:gridCol w:w="211"/>
        <w:gridCol w:w="78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ARR</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359,827</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359,136</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355,716</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354,608</w:t>
            </w:r>
          </w:p>
        </w:tc>
        <w:tc>
          <w:tcPr>
            <w:tcW w:w="191"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Merchandise Volume (GMV)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Merchandise Volume (“GMV”) represents the total dollar value of completed checkout transactions facilitated through the Commerce platform during the reporting period, including shipping and taxes. GMV is reported on a gross basis before deducting refunds or discounts. GMV is not a measure of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Merchandise Volume for the three months ended:</w:t>
      </w:r>
    </w:p>
    <w:p>
      <w:pPr>
        <w:pStyle w:val="TextBody"/>
        <w:bidi w:val="0"/>
        <w:jc w:val="left"/>
        <w:rPr/>
      </w:pPr>
      <w:r>
        <w:rPr/>
        <w:t> </w:t>
      </w:r>
    </w:p>
    <w:tbl>
      <w:tblPr>
        <w:tblW w:w="5886" w:type="dxa"/>
        <w:jc w:val="left"/>
        <w:tblInd w:w="0" w:type="dxa"/>
        <w:tblLayout w:type="fixed"/>
        <w:tblCellMar>
          <w:top w:w="28" w:type="dxa"/>
          <w:left w:w="28" w:type="dxa"/>
          <w:bottom w:w="28" w:type="dxa"/>
          <w:right w:w="28" w:type="dxa"/>
        </w:tblCellMar>
      </w:tblPr>
      <w:tblGrid>
        <w:gridCol w:w="1741"/>
        <w:gridCol w:w="146"/>
        <w:gridCol w:w="421"/>
        <w:gridCol w:w="1139"/>
        <w:gridCol w:w="146"/>
        <w:gridCol w:w="146"/>
        <w:gridCol w:w="395"/>
        <w:gridCol w:w="1270"/>
        <w:gridCol w:w="166"/>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Sequential %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Revenue Retention (NRR)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Revenue Retention (“NRR”) measures our ability to retain and expand revenue from existing customers over time. NRR is calculated by dividing total billings and allocated partner revenue from a cohort of customers during the trailing twelve-month period by the total billings and allocated partner revenue from the same customer cohort in the corresponding prior-year period. NRR reflects the impact of customer expansion and contraction and excludes revenue from customers added after the prior twelve-month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Revenue Retention for the twelve months trailing as of: </w:t>
      </w:r>
    </w:p>
    <w:p>
      <w:pPr>
        <w:pStyle w:val="TextBody"/>
        <w:bidi w:val="0"/>
        <w:jc w:val="left"/>
        <w:rPr/>
      </w:pPr>
      <w:r>
        <w:rPr/>
        <w:t> </w:t>
      </w:r>
    </w:p>
    <w:tbl>
      <w:tblPr>
        <w:tblW w:w="6611" w:type="dxa"/>
        <w:jc w:val="left"/>
        <w:tblInd w:w="0" w:type="dxa"/>
        <w:tblLayout w:type="fixed"/>
        <w:tblCellMar>
          <w:top w:w="28" w:type="dxa"/>
          <w:left w:w="28" w:type="dxa"/>
          <w:bottom w:w="28" w:type="dxa"/>
          <w:right w:w="28" w:type="dxa"/>
        </w:tblCellMar>
      </w:tblPr>
      <w:tblGrid>
        <w:gridCol w:w="1741"/>
        <w:gridCol w:w="146"/>
        <w:gridCol w:w="512"/>
        <w:gridCol w:w="1648"/>
        <w:gridCol w:w="146"/>
        <w:gridCol w:w="271"/>
        <w:gridCol w:w="428"/>
        <w:gridCol w:w="1237"/>
        <w:gridCol w:w="166"/>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Trailing twelve months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Sequential %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EF3F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28"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Subscription annual revenue run-rate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calculate Subscription ARR at the end of each month as the sum of contractual monthly recurring revenue at the end of the period, which includes platform subscription fees, invoiced growth adjustments, feed management subscription fees, recurring professional services revenue, and other recurring revenue, multiplied by twelve to prospectively annualize recurring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annual revenue run-rate as of the periods ended:</w:t>
      </w:r>
    </w:p>
    <w:p>
      <w:pPr>
        <w:pStyle w:val="TextBody"/>
        <w:bidi w:val="0"/>
        <w:jc w:val="left"/>
        <w:rPr/>
      </w:pPr>
      <w:r>
        <w:rPr/>
        <w:t> </w:t>
      </w:r>
    </w:p>
    <w:tbl>
      <w:tblPr>
        <w:tblW w:w="8322" w:type="dxa"/>
        <w:jc w:val="left"/>
        <w:tblInd w:w="0" w:type="dxa"/>
        <w:tblLayout w:type="fixed"/>
        <w:tblCellMar>
          <w:top w:w="28" w:type="dxa"/>
          <w:left w:w="28" w:type="dxa"/>
          <w:bottom w:w="28" w:type="dxa"/>
          <w:right w:w="28" w:type="dxa"/>
        </w:tblCellMar>
      </w:tblPr>
      <w:tblGrid>
        <w:gridCol w:w="1606"/>
        <w:gridCol w:w="146"/>
        <w:gridCol w:w="211"/>
        <w:gridCol w:w="781"/>
        <w:gridCol w:w="146"/>
        <w:gridCol w:w="146"/>
        <w:gridCol w:w="211"/>
        <w:gridCol w:w="781"/>
        <w:gridCol w:w="146"/>
        <w:gridCol w:w="146"/>
        <w:gridCol w:w="233"/>
        <w:gridCol w:w="862"/>
        <w:gridCol w:w="146"/>
        <w:gridCol w:w="146"/>
        <w:gridCol w:w="242"/>
        <w:gridCol w:w="898"/>
        <w:gridCol w:w="146"/>
        <w:gridCol w:w="146"/>
        <w:gridCol w:w="211"/>
        <w:gridCol w:w="78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ARR</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270,284</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270,191</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272,411</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268,617</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267,951</w:t>
            </w:r>
          </w:p>
        </w:tc>
        <w:tc>
          <w:tcPr>
            <w:tcW w:w="191"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 from two sources: (1) subscription solutions revenue and (2) partner and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solutions revenue consists primarily of platform subscription fees from plans and recurring professional services. Subscription solutions are typically charged annually for our customers to sell their products and process transactions on our platform. Subscription solutions are generally charged per online store and are based on the store’s subscription plan. Our Enterprise plan contracts are generally for a fixed term of 12 to 36 months and are non-cancelable. Our pricing strategy provides enterprise merchants a discount for a period of time from their contractual obligations. Merchants have full access to the functionality of our platform upon contract execution, and revenue is recognized ratably over the contract life. Our retail plans are generally month-to-month contracts. Monthly subscription fees for Enterprise plans are adjusted if a customer’s GMV or orders processed are outside of specified plan thresholds on a trailing twelve-month basis. Fixed monthly fees and any transaction charges related to subscription solutions are recognized as revenue in the month they are earned.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Feedonomics, we provide feed management solutions under service contracts which are generally one year or less and, in many cases, month-to-month. These service types may be sold stand-alone or as part of a multi-service bundle (e.g. both marketplaces and advertising) and are billed monthly in arrears.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generate partner revenue from our technology application ecosystem. Customers tailor their stores to meet their feature needs by integrating applications developed by our strategic technology partners. We enter into contracts with our strategic technology partners that are generally for one year or longer. We generate revenue from these contracts in three ways: (1) revenue-sharing arrangements, (2) technology integrations, and (3) partner marketing and promotion. We recognize revenue on a net basis from revenue-sharing arrangements when the underlying transaction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generate revenue from non-recurring professional services that we provide to complement the capabilities of our customers and their agency partners. Our services help improve customers’ time-to-market and the success of their businesses. Our non-recurring services include education packages, launch services, solutions architecting, implementation consulting, and catalog transfer services.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consists primarily of: (1) personnel-related expenses (including stock-based compensation expense and associated payroll costs) for our customer success teams, (2) costs that are directly related to hosting and maintaining our platform, (3) fees for processing customer payments such as credit card processing charges, (4) personnel and other costs related to feed management, and (5) allocated overhead costs, such as technology and facility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consist primarily of: (1) personnel-related expenses (including stock-based compensation expense and associated payroll costs), (2) sales commissions, (3) marketing programs, (4) travel-related expenses, and (5) allocated overhead costs, such as technology and facility costs. We focus our sales and marketing efforts on creating sales leads and establishing and promoting our brand. Incremental sales commissions for new customer contracts are deferred and amortized ratably over the estimated period of our relationship with such customers which approximates three years.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personnel-related expenses (including stock-based compensation expense and associated payroll costs) incurred in maintaining and developing enhancements to our ecommerce platform, optimization of AI-powered data and flexible storefront creation, and allocated overhead costs, such as technology and facility costs. Software development costs associated with internal use software which are incurred during the application development phase and meet other requirements are capitalized.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(1) personnel-related expenses (including stock-based compensation expense and associated payroll costs) for finance, legal and compliance, human resources, and certain members of our executive team, (2) external professional services, and (3) allocated overhead costs, such as technology and facility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Acquisition 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related expenses consists of cash payments for third-party acquisition costs and other acquisition related expenses, including contingent compensation arrangements entered into in connection with acquisitions.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Restructuring charges consist primarily of severance payments, professional services, contract costs, accelerated depreciation of internal use software, exits of certain office leases, and other related costs.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Amortization of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consist of amortization of developed technology and acquired intangible assets which were recognized as a result of business combinations. These assets are being amortized over their expected useful life.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Gain on convertible notes extinguishment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Gains recorded net of proportionate share of unamortized debt issuance costs and certain third party transaction costs relate to the repurchase transactions of the 2026 Convertible Notes and exchange transaction of the 2026 Convertible Notes for the 2028 Convertible Notes.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is earned on our cash, cash equivalents and marketable securities.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the interest expense from the amortization of the debt issuance costs and coupon interest attributable to our 2028 and 2026 Convertible Notes with offsetting amortization of the debt premium related to the 2028 Convertible Notes and capitalization of interest expense.</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primarily consists of foreign currency translation adjustments.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provision for income taxes consists primarily of current state and foreign jurisdictions in which we conduct business, deferred income taxes associated with amortization of tax deductible goodwill. For U.S. federal income tax purposes and in certain foreign and state jurisdictions, we have NOL carryforwards. The foreign jurisdictions in which we operate have different statutory tax rates than those of the United States. Additionally, certain foreign earnings may also be currently taxable in the United States. Accordingly, our effective tax rate will vary depending on the relative proportion of foreign to domestic income, use of foreign tax credits, changes in the valuation of our deferred tax assets and liabilities, applicability of any valuation allowances, and changes in tax laws in jurisdictions in which we operate.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historical consolidated statement of operations data. The period-to-period comparison of operating results is not necessarily indicative of results for future periods.</w:t>
      </w:r>
    </w:p>
    <w:p>
      <w:pPr>
        <w:pStyle w:val="TextBody"/>
        <w:bidi w:val="0"/>
        <w:jc w:val="left"/>
        <w:rPr/>
      </w:pPr>
      <w:r>
        <w:rPr/>
        <w:t> </w:t>
      </w:r>
    </w:p>
    <w:tbl>
      <w:tblPr>
        <w:tblW w:w="9143" w:type="dxa"/>
        <w:jc w:val="left"/>
        <w:tblInd w:w="0" w:type="dxa"/>
        <w:tblLayout w:type="fixed"/>
        <w:tblCellMar>
          <w:top w:w="28" w:type="dxa"/>
          <w:left w:w="28" w:type="dxa"/>
          <w:bottom w:w="28" w:type="dxa"/>
          <w:right w:w="28" w:type="dxa"/>
        </w:tblCellMar>
      </w:tblPr>
      <w:tblGrid>
        <w:gridCol w:w="3961"/>
        <w:gridCol w:w="146"/>
        <w:gridCol w:w="224"/>
        <w:gridCol w:w="719"/>
        <w:gridCol w:w="176"/>
        <w:gridCol w:w="155"/>
        <w:gridCol w:w="224"/>
        <w:gridCol w:w="719"/>
        <w:gridCol w:w="166"/>
        <w:gridCol w:w="146"/>
        <w:gridCol w:w="211"/>
        <w:gridCol w:w="781"/>
        <w:gridCol w:w="166"/>
        <w:gridCol w:w="146"/>
        <w:gridCol w:w="211"/>
        <w:gridCol w:w="781"/>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60,825</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convertible note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Amounts include stock-based compensation expense and associated payroll tax costs, as follows:</w:t>
      </w:r>
    </w:p>
    <w:p>
      <w:pPr>
        <w:pStyle w:val="TextBody"/>
        <w:bidi w:val="0"/>
        <w:jc w:val="left"/>
        <w:rPr/>
      </w:pPr>
      <w:r>
        <w:rPr/>
        <w:t> </w:t>
      </w:r>
    </w:p>
    <w:tbl>
      <w:tblPr>
        <w:tblW w:w="7182" w:type="dxa"/>
        <w:jc w:val="left"/>
        <w:tblInd w:w="0" w:type="dxa"/>
        <w:tblLayout w:type="fixed"/>
        <w:tblCellMar>
          <w:top w:w="28" w:type="dxa"/>
          <w:left w:w="28" w:type="dxa"/>
          <w:bottom w:w="28" w:type="dxa"/>
          <w:right w:w="28" w:type="dxa"/>
        </w:tblCellMar>
      </w:tblPr>
      <w:tblGrid>
        <w:gridCol w:w="2311"/>
        <w:gridCol w:w="146"/>
        <w:gridCol w:w="252"/>
        <w:gridCol w:w="683"/>
        <w:gridCol w:w="174"/>
        <w:gridCol w:w="174"/>
        <w:gridCol w:w="252"/>
        <w:gridCol w:w="683"/>
        <w:gridCol w:w="146"/>
        <w:gridCol w:w="146"/>
        <w:gridCol w:w="230"/>
        <w:gridCol w:w="623"/>
        <w:gridCol w:w="159"/>
        <w:gridCol w:w="159"/>
        <w:gridCol w:w="230"/>
        <w:gridCol w:w="62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 by geographic region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composition of our revenue by geographic region during the three and six months ended June 30, 2026 and June 30, 2025 were as follows:</w:t>
      </w:r>
    </w:p>
    <w:p>
      <w:pPr>
        <w:pStyle w:val="Normal"/>
        <w:bidi w:val="0"/>
        <w:spacing w:before="0" w:after="0"/>
        <w:jc w:val="left"/>
        <w:rPr>
          <w:sz w:val="4"/>
          <w:szCs w:val="4"/>
        </w:rPr>
      </w:pPr>
      <w:r>
        <w:rPr>
          <w:sz w:val="4"/>
          <w:szCs w:val="4"/>
        </w:rPr>
      </w:r>
      <w:bookmarkStart w:id="12" w:name="fis_unidentified_table_27"/>
      <w:bookmarkStart w:id="13" w:name="fis_unidentified_table_27"/>
      <w:bookmarkEnd w:id="13"/>
    </w:p>
    <w:tbl>
      <w:tblPr>
        <w:tblW w:w="10488" w:type="dxa"/>
        <w:jc w:val="left"/>
        <w:tblInd w:w="0" w:type="dxa"/>
        <w:tblLayout w:type="fixed"/>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11"/>
        <w:gridCol w:w="571"/>
        <w:gridCol w:w="166"/>
        <w:gridCol w:w="146"/>
        <w:gridCol w:w="157"/>
        <w:gridCol w:w="504"/>
        <w:gridCol w:w="166"/>
        <w:gridCol w:w="271"/>
        <w:gridCol w:w="146"/>
        <w:gridCol w:w="211"/>
        <w:gridCol w:w="781"/>
        <w:gridCol w:w="146"/>
        <w:gridCol w:w="146"/>
        <w:gridCol w:w="211"/>
        <w:gridCol w:w="781"/>
        <w:gridCol w:w="146"/>
        <w:gridCol w:w="146"/>
        <w:gridCol w:w="211"/>
        <w:gridCol w:w="571"/>
        <w:gridCol w:w="166"/>
        <w:gridCol w:w="146"/>
        <w:gridCol w:w="157"/>
        <w:gridCol w:w="504"/>
        <w:gridCol w:w="16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9"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the three and six months ended June 30, 2026 and June 30,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left"/>
        <w:rPr>
          <w:rFonts w:ascii="Times New Roman" w:hAnsi="Times New Roman"/>
          <w:color w:val="000000"/>
          <w:sz w:val="20"/>
        </w:rPr>
      </w:pPr>
      <w:bookmarkStart w:id="14" w:name="fis_unidentified_table_28"/>
      <w:bookmarkEnd w:id="14"/>
      <w:r>
        <w:rPr>
          <w:rFonts w:ascii="Times New Roman" w:hAnsi="Times New Roman"/>
          <w:color w:val="000000"/>
          <w:sz w:val="20"/>
        </w:rPr>
        <w:t>The following table presents the components of our revenue for each of the periods indicated:</w:t>
      </w:r>
    </w:p>
    <w:p>
      <w:pPr>
        <w:pStyle w:val="TextBody"/>
        <w:bidi w:val="0"/>
        <w:jc w:val="left"/>
        <w:rPr/>
      </w:pPr>
      <w:r>
        <w:rPr/>
        <w:t> </w:t>
      </w:r>
    </w:p>
    <w:tbl>
      <w:tblPr>
        <w:tblW w:w="10673" w:type="dxa"/>
        <w:jc w:val="left"/>
        <w:tblInd w:w="0" w:type="dxa"/>
        <w:tblLayout w:type="fixed"/>
        <w:tblCellMar>
          <w:top w:w="28" w:type="dxa"/>
          <w:left w:w="28" w:type="dxa"/>
          <w:bottom w:w="28" w:type="dxa"/>
          <w:right w:w="28" w:type="dxa"/>
        </w:tblCellMar>
      </w:tblPr>
      <w:tblGrid>
        <w:gridCol w:w="1156"/>
        <w:gridCol w:w="146"/>
        <w:gridCol w:w="211"/>
        <w:gridCol w:w="676"/>
        <w:gridCol w:w="146"/>
        <w:gridCol w:w="146"/>
        <w:gridCol w:w="211"/>
        <w:gridCol w:w="676"/>
        <w:gridCol w:w="146"/>
        <w:gridCol w:w="146"/>
        <w:gridCol w:w="211"/>
        <w:gridCol w:w="481"/>
        <w:gridCol w:w="166"/>
        <w:gridCol w:w="146"/>
        <w:gridCol w:w="170"/>
        <w:gridCol w:w="491"/>
        <w:gridCol w:w="166"/>
        <w:gridCol w:w="271"/>
        <w:gridCol w:w="146"/>
        <w:gridCol w:w="211"/>
        <w:gridCol w:w="781"/>
        <w:gridCol w:w="146"/>
        <w:gridCol w:w="146"/>
        <w:gridCol w:w="211"/>
        <w:gridCol w:w="781"/>
        <w:gridCol w:w="146"/>
        <w:gridCol w:w="146"/>
        <w:gridCol w:w="211"/>
        <w:gridCol w:w="571"/>
        <w:gridCol w:w="146"/>
        <w:gridCol w:w="146"/>
        <w:gridCol w:w="190"/>
        <w:gridCol w:w="471"/>
        <w:gridCol w:w="146"/>
        <w:gridCol w:w="316"/>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1" w:type="dxa"/>
            <w:gridSpan w:val="3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increased for the three months ended June 30, 2026, compared to the three months ended June 30, 2025. The change related to an increase in partner and services revenue of $0.6 million driven primarily by increases in stand ready revenue of $0.3 million and sponsorship revenue of $0.3 million. These increases were offset by a decrease in subscription solutions revenue of $0.5 million as a result of a contract termination fee that was recognized in the prior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increased for the six months ended June 30, 2026, from the six months ended June 30, 2025, as a result of an increase in subscription solutions revenue of $1.0 million primarily driven by new customers and upgrades, and an increase in partner and services revenue of $3.5 million which was attributed to an increase partner integrations of $4.1 million offset by a decrease in professional services revenue of $0.6 million.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revenue, gross profit, and gross margin</w:t>
      </w:r>
    </w:p>
    <w:p>
      <w:pPr>
        <w:pStyle w:val="TextBody"/>
        <w:bidi w:val="0"/>
        <w:jc w:val="both"/>
        <w:rPr/>
      </w:pPr>
      <w:r>
        <w:rPr/>
        <w:t> </w:t>
      </w:r>
    </w:p>
    <w:tbl>
      <w:tblPr>
        <w:tblW w:w="11273" w:type="dxa"/>
        <w:jc w:val="left"/>
        <w:tblInd w:w="0" w:type="dxa"/>
        <w:tblLayout w:type="fixed"/>
        <w:tblCellMar>
          <w:top w:w="28" w:type="dxa"/>
          <w:left w:w="28" w:type="dxa"/>
          <w:bottom w:w="28" w:type="dxa"/>
          <w:right w:w="28" w:type="dxa"/>
        </w:tblCellMar>
      </w:tblPr>
      <w:tblGrid>
        <w:gridCol w:w="1006"/>
        <w:gridCol w:w="146"/>
        <w:gridCol w:w="211"/>
        <w:gridCol w:w="676"/>
        <w:gridCol w:w="146"/>
        <w:gridCol w:w="271"/>
        <w:gridCol w:w="211"/>
        <w:gridCol w:w="676"/>
        <w:gridCol w:w="146"/>
        <w:gridCol w:w="271"/>
        <w:gridCol w:w="211"/>
        <w:gridCol w:w="631"/>
        <w:gridCol w:w="166"/>
        <w:gridCol w:w="146"/>
        <w:gridCol w:w="157"/>
        <w:gridCol w:w="504"/>
        <w:gridCol w:w="166"/>
        <w:gridCol w:w="271"/>
        <w:gridCol w:w="146"/>
        <w:gridCol w:w="211"/>
        <w:gridCol w:w="781"/>
        <w:gridCol w:w="146"/>
        <w:gridCol w:w="271"/>
        <w:gridCol w:w="211"/>
        <w:gridCol w:w="781"/>
        <w:gridCol w:w="146"/>
        <w:gridCol w:w="271"/>
        <w:gridCol w:w="211"/>
        <w:gridCol w:w="631"/>
        <w:gridCol w:w="166"/>
        <w:gridCol w:w="146"/>
        <w:gridCol w:w="157"/>
        <w:gridCol w:w="504"/>
        <w:gridCol w:w="166"/>
        <w:gridCol w:w="31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increased for the three months ended June 30, 2026, from the three months ended June 30, 2025. The change related to an increase of $2.9 million in web hosting costs from increased activity in the current year and the expiration of usage credits in the prior period and an increase in allocated overhead costs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increased for the six months ended June 30, 2026, from the six months ended June 30, 2025. The change was due to an increase of $5.5 million in web hosting costs from increased activity in the current year and the expiration of usage credits utilized in the prior period, as well as increased allocated overhead costs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cost of revenue to remain consistent in the near term in both absolute dollars and as a percentage of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our operating expenses for each of the periods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03"/>
        <w:gridCol w:w="146"/>
        <w:gridCol w:w="211"/>
        <w:gridCol w:w="676"/>
        <w:gridCol w:w="146"/>
        <w:gridCol w:w="146"/>
        <w:gridCol w:w="268"/>
        <w:gridCol w:w="857"/>
        <w:gridCol w:w="146"/>
        <w:gridCol w:w="271"/>
        <w:gridCol w:w="146"/>
        <w:gridCol w:w="211"/>
        <w:gridCol w:w="676"/>
        <w:gridCol w:w="146"/>
        <w:gridCol w:w="146"/>
        <w:gridCol w:w="268"/>
        <w:gridCol w:w="857"/>
        <w:gridCol w:w="146"/>
        <w:gridCol w:w="271"/>
        <w:gridCol w:w="146"/>
        <w:gridCol w:w="211"/>
        <w:gridCol w:w="736"/>
        <w:gridCol w:w="166"/>
        <w:gridCol w:w="146"/>
        <w:gridCol w:w="146"/>
        <w:gridCol w:w="631"/>
        <w:gridCol w:w="166"/>
        <w:gridCol w:w="320"/>
      </w:tblGrid>
      <w:tr>
        <w:trPr/>
        <w:tc>
          <w:tcPr>
            <w:tcW w:w="1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1"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 % of Total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 % of Total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65"/>
        <w:gridCol w:w="146"/>
        <w:gridCol w:w="211"/>
        <w:gridCol w:w="781"/>
        <w:gridCol w:w="146"/>
        <w:gridCol w:w="146"/>
        <w:gridCol w:w="242"/>
        <w:gridCol w:w="774"/>
        <w:gridCol w:w="146"/>
        <w:gridCol w:w="271"/>
        <w:gridCol w:w="146"/>
        <w:gridCol w:w="211"/>
        <w:gridCol w:w="781"/>
        <w:gridCol w:w="146"/>
        <w:gridCol w:w="146"/>
        <w:gridCol w:w="242"/>
        <w:gridCol w:w="774"/>
        <w:gridCol w:w="146"/>
        <w:gridCol w:w="271"/>
        <w:gridCol w:w="146"/>
        <w:gridCol w:w="211"/>
        <w:gridCol w:w="736"/>
        <w:gridCol w:w="166"/>
        <w:gridCol w:w="146"/>
        <w:gridCol w:w="146"/>
        <w:gridCol w:w="631"/>
        <w:gridCol w:w="166"/>
        <w:gridCol w:w="271"/>
        <w:gridCol w:w="195"/>
      </w:tblGrid>
      <w:tr>
        <w:trPr/>
        <w:tc>
          <w:tcPr>
            <w:tcW w:w="1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3"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 % of Total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 % of Total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4" w:type="dxa"/>
            <w:gridSpan w:val="2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w:t>
            </w:r>
          </w:p>
        </w:tc>
      </w:tr>
      <w:tr>
        <w:trPr/>
        <w:tc>
          <w:tcPr>
            <w:tcW w:w="1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decreased for the three months ended June 30, 2026 from the three months ended June 30, 2025. The decrease of $7.6 million was primarily related to actions implemented by the Company's in prior periods to optimize operational costs and efficiencies. These initiatives resulted in reductions in salaries and share-based compensation expense of $6.6 million, $0.6 million of variable marketing spend, and $0.4 million of allocated overhead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for the six months ended June 30, 2026, from the six months ended June 30, 2025. The decrease was primarily related to a reduction in salaries and share-based compensation expenses of $10.1 million, variable marketing costs of $1.1 million, and $0.5 million reduction of allocated overhead costs as a result of the actions taken by the Company as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sales and marketing expenses to remain consistent, both in absolute dollars and as a percentage of revenue, in the near term.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for the three months ended June 30, 2026 from the three months ended June 30, 2025, primarily related to decreases in share-based compensation expense of $1.4 million, increased compensation costs capitalized related to our go to market products of $2.0 million, offset by increases of $1.4 million in professional services costs and allocated overhead costs of $1.4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for the six months ended June 30, 2026, from the six months ended June 30, 2025, primarily due to a decrease in salaries and share-based compensation expense of $3.4 million, increases in compensation costs capitalized related to our go to market products of $3.2 million, offset by increases in professional services costs of $2.5 million and allocated overhead costs of $2.3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research and development expenses as a percentage of revenue to increase as we continue to prioritize investment in our core offerings throughout fiscal year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for the three months ended June 30, 2026 from the three months ended June 30, 2025, primarily due to actions implemented by the Company's in prior periods to optimize operational costs and efficiencies. These initiatives resulted in reductions in professional services of $1.2 million, salaries and share-based compensation expense of $0.7 million, and bad debt expense of $0.5 million. The decrease was offset by increases in allocated overhead costs of $0.7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for the six months ended June 30, 2026, from the six months ended June 30, 2025, primarily related to a $1.7 million decrease in professional services costs and $1.2 million decrease in bad debt expense. These decreased were offset by increases in salaries and share-based compensation expense of $1.4 million and allocated overhead costs of $0.4 million as a result of the actions taken by the Company as described above.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general and administrative expenses as a percentage of revenue to remain consistent in the near term, reflecting operational costs efficiencies.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Amortization of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decreased for the three and six months ended June 30, 2026 from the three and six months ended June 30, 2025 as a result of certain acquired assets being fully amortized in the prior year.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Acquisition 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related expense decreased for the three and six months ended June 30, 2026 from the three and six months ended June 30, 2025 primarily attributable to the amortization of deferred compensation for the Makeswift acquisition which was fully amortized for the year ended December 31,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charges decreased for the three and six months ended June 30, 2026 from the three and six months ended June 30, 2025. For the three and six months ended June 30, 2026, restructuring charges included severance payments, professional services, and other 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additional costs relating to the 2025 Restructure of approximately $1.0 million to $3.0 million through the first half of fiscal 2027 relating to retention benefits and professional services costs.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our other income/(expenses) for each of the periods indicated:</w:t>
      </w:r>
    </w:p>
    <w:p>
      <w:pPr>
        <w:pStyle w:val="TextBody"/>
        <w:bidi w:val="0"/>
        <w:jc w:val="left"/>
        <w:rPr/>
      </w:pPr>
      <w:r>
        <w:rPr/>
        <w:t> </w:t>
      </w:r>
    </w:p>
    <w:tbl>
      <w:tblPr>
        <w:tblW w:w="11081" w:type="dxa"/>
        <w:jc w:val="left"/>
        <w:tblInd w:w="0" w:type="dxa"/>
        <w:tblLayout w:type="fixed"/>
        <w:tblCellMar>
          <w:top w:w="28" w:type="dxa"/>
          <w:left w:w="28" w:type="dxa"/>
          <w:bottom w:w="28" w:type="dxa"/>
          <w:right w:w="28" w:type="dxa"/>
        </w:tblCellMar>
      </w:tblPr>
      <w:tblGrid>
        <w:gridCol w:w="1396"/>
        <w:gridCol w:w="146"/>
        <w:gridCol w:w="211"/>
        <w:gridCol w:w="631"/>
        <w:gridCol w:w="166"/>
        <w:gridCol w:w="146"/>
        <w:gridCol w:w="211"/>
        <w:gridCol w:w="631"/>
        <w:gridCol w:w="166"/>
        <w:gridCol w:w="146"/>
        <w:gridCol w:w="146"/>
        <w:gridCol w:w="211"/>
        <w:gridCol w:w="481"/>
        <w:gridCol w:w="166"/>
        <w:gridCol w:w="146"/>
        <w:gridCol w:w="146"/>
        <w:gridCol w:w="631"/>
        <w:gridCol w:w="166"/>
        <w:gridCol w:w="271"/>
        <w:gridCol w:w="146"/>
        <w:gridCol w:w="211"/>
        <w:gridCol w:w="631"/>
        <w:gridCol w:w="166"/>
        <w:gridCol w:w="146"/>
        <w:gridCol w:w="211"/>
        <w:gridCol w:w="631"/>
        <w:gridCol w:w="166"/>
        <w:gridCol w:w="146"/>
        <w:gridCol w:w="211"/>
        <w:gridCol w:w="631"/>
        <w:gridCol w:w="166"/>
        <w:gridCol w:w="146"/>
        <w:gridCol w:w="146"/>
        <w:gridCol w:w="631"/>
        <w:gridCol w:w="166"/>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9"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convertible note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 on convertible note extinguishment decreased for the six months ended June 30, 2026, as a result of the repurchase transaction that occurred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remained consistent for the three and six months ended June 30, 2026 from the three and six months ended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remained consistent for the three and six months ended June 30, 2026 from the three and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increased for the three and six months ended June 30, 2026 from the three and six months ended June 30, 2025. This increase was due to the impact of foreign currency exchange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provision for income taxes decreased for the three and six months ended June 30, 2026 from the three and six months ended June 30, 2025. This decrease was primarily due to decreases in state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calculating income tax expense, we continued to maintain a full valuation allowance on our U.S. federal and state net deferred tax assets as it was more likely than not that those deferred tax assets will not be realized. However, given our recent net income, we believe that there is a reasonable possibility that, in the near term, sufficient positive evidence may become available that supports the release of a portion of our valuation allowance, which would result in the recognition of certain U.S. deferred tax assets and a decrease to income tax expense for the period in which the release is recorded. The exact timing and amount of the valuation allowance release would be subject to change based on the level of profitability that we can achieve.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 summary of our cash flows for the periods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21"/>
        <w:gridCol w:w="146"/>
        <w:gridCol w:w="221"/>
        <w:gridCol w:w="663"/>
        <w:gridCol w:w="174"/>
        <w:gridCol w:w="153"/>
        <w:gridCol w:w="221"/>
        <w:gridCol w:w="773"/>
        <w:gridCol w:w="166"/>
        <w:gridCol w:w="146"/>
        <w:gridCol w:w="211"/>
        <w:gridCol w:w="736"/>
        <w:gridCol w:w="166"/>
        <w:gridCol w:w="146"/>
        <w:gridCol w:w="211"/>
        <w:gridCol w:w="736"/>
        <w:gridCol w:w="215"/>
      </w:tblGrid>
      <w:tr>
        <w:trPr/>
        <w:tc>
          <w:tcPr>
            <w:tcW w:w="5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we had $157.5 million in cash, cash equivalents, restricted cash, and marketable securities, an increase of $21.9 million compared to $135.6 million as of June 30, 2025. Cash and cash equivalents consist of highly-liquid investments with original maturities of less than ninety days. Our restricted cash balance of $1.2 million at June 30, 2026 and 2025, consists of security deposits for future chargebacks and amounts on deposit with certain financial institutions. Our marketable securities balance of $99.2 million and $88.2 million at June 30, 2026 and 2025 respectively, consists of investments in US treasury securities. We maintain cash account balances in excess of Federal Deposit Insurance Corporation (FDIC) insured limits.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for the three months ended June 30, 2026 and 2025 was $5.1 million and $13.6 million, respectively. This consisted primarily of our net income (loss) adjusted for certain non-cash items including depreciation, stock-based compensation, debt discount amortization, debt premium amortization, amortization of intangible assets, bad debt expense, and the effect of changes in our working capital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for the six months ended June 30, 2026 and 2025 was $23.5 million and $14.0 million, respectively. This consisted primarily of our net income (loss) adjusted for certain non-cash items including depreciation, stock-based compensation, debt discount amortization, debt premium amortization, amortization of intangible assets, bad debt expense, gain on convertible note extinguishment, and the effect of changes in our working capital accounts.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during the three months ended June 30, 2026 and 2025 was $5.7 million and $21.2 million, respectively. In the three months ended June 30, 2026, this consists primarily of the purchase of marketable securities of $19.7 million and the cash paid for the purchase of property, equipment, leasehold improvements and capitalized internal-use software of $5.0 million offset by the sale and maturity of marketable securities of $19.0 million. In the three months ended June 30, 2025, this consists primarily of the purchase of marketable securities of $32.6 million and the cash paid for the purchase of property, equipment, leasehold improvements and capitalized internal-use software of $1.7 million offset by the sale and maturity of marketable securities of $13.0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during the six months ended June 30, 2026 and 2025 was $11.1 million and $3.9 million, respectively. In the six months ended June 30, 2026, this consists primarily of the purchase of marketable securities of $44.8 million, and purchase of property, equipment, leasehold improvements and capitalized internal-use software of 9.3 million, offset by the sale and maturity of marketable securities of $43.0 million. In the six months ended June 30, 2025, this consists primarily of the purchase of marketable securities of $40.5 million, the cash paid for the website domain name of $2.4 million, and purchase of property, equipment, leasehold improvements and capitalized internal-use software of $2.5 million offset by the sale and maturity of marketable securities of $41.6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(used in) financing activities during the three months ended June 30, 2026 and 2025 was ($0.2) million and $1.8 million respectively. In the three months ended June 30, 2026, this was attributable to the taxes paid related to net share settlement of equity awards of $0.2 million. In the three months ended June 30, 2025, this was attributable to the proceeds from exercise of stock options of $1.9 million offset by the taxes paid related to net share settlement of equity awards of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during the six months ended June 30, 2026 and 2025 was $0.2 million and $53.0 million, respectively. In the six months ended June 30, 2026, this consists primarily of taxes paid related to net share settlement of equity awards of $0.8 million offset by the proceeds from exercise of stock options of $0.6 million. In the six months ended June 30, 2025, consists primarily of repayment of convertible notes of $54.5 million and taxes paid related to net share settlement of equity awards of $1.4 million offset by the proceeds from exercise of stock options of $3.1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cash flow generation and cash management by focusing on operational efficiency and organization simplification, and we continue to evaluate all of our spending to look for opportunities to drive improvements in cash flow. Our success in transitioning our customer base from legacy month-to-month contracts to annual contracts has continued to result in better cash flow as these efforts have increased the timing of our cash receipts.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operational short-term liquidity needs primarily include working capital for sales and marketing, research and development, interest payments on our 2028 Convertible Notes, repayment of our 2026 Convertible Notes at maturity, and continued innovation. Our future capital requirements will depend on many factors, including our growth rate, levels of revenue, market acceptance of our platform, the results of business initiatives including our efforts in transitioning our customers to annual billings, continued reduction in churn, the timing of new product introductions, the continued impact of the inflation on the global economy, market risk due to elevated interest rates,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and cash equivalents and our cash flows from operating activities will be sufficient to meet our working capital and capital expenditure needs, including repayment of the approximately $4.1 million principal amount of our</w:t>
      </w:r>
    </w:p>
    <w:p>
      <w:pPr>
        <w:pStyle w:val="TextBody"/>
        <w:bidi w:val="0"/>
        <w:jc w:val="left"/>
        <w:rPr>
          <w:rFonts w:ascii="Times New Roman" w:hAnsi="Times New Roman"/>
          <w:color w:val="000000"/>
          <w:sz w:val="20"/>
        </w:rPr>
      </w:pPr>
      <w:r>
        <w:rPr>
          <w:rFonts w:ascii="Times New Roman" w:hAnsi="Times New Roman"/>
          <w:color w:val="000000"/>
          <w:sz w:val="20"/>
        </w:rPr>
        <w:t>2026 Convertible Notes at their maturity on October 1, 2026, for at least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seek to repurchase, redeem or otherwise retire our Convertible Notes through cash repurchases and/or exchanges for equity securities, in open market repurchases, privately negotiated transactions, tender offers or otherwise. Such repurchases, redemptions or other transactions, if any, will depend on prevailing market conditions, our liquidity requirements, contractual restrictions, and other factors. The amounts involved may be material. We do not have any material off-balance sheet arrangements that we expect would materially affect our liquidity and capital resources.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2028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2024, we issued $150.0 million in aggregate principal amount of the Company’s new 7.50 percent convertible senior notes due 2028 (the “2028 Convertible Notes”). The 2028 Convertible Notes were issued pursuant to, and are governed by, an indenture (the “2028 Convertible Notes Indenture”), dated as of August 7, 2024, between the Company and U.S. Bank Trust Company, National Association, as trustee.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2028 Convertible Notes are our senior, initially unsecured obligations and will accrue interest at a rate of 7.50 percent per annum, payable semi-annually in arrears on April 1 and October 1 of each year. The 2028 Convertible Notes will mature on October 1, 2028, unless earlier converted, redeemed or repurchased. Before July 3, 2028, noteholders will have the right to convert their 2028 Convertible Notes only upon the occurrence of certain events. From and after July 3, 2028, noteholders may convert their 2028 Convertible Notes at any time at their election until the close of business on the second scheduled trading day immediately before the maturity date. We will settle conversions by paying or delivering, as applicable, cash, shares of its common stock or a combination of cash and shares of its common stock, at the Company’s election. The initial conversion rate is 62.5000 shares of common stock per $1,000 principal amount of 2028 Convertible Notes, which represents an initial conversion price of $16.00 per share of common stock. The conversion rate and conversion price will be subject to customary adjustments upon the occurrence of certain events. In addition, if certain corporate events that constitute a “Make-Whole Fundamental Change” (as defined in the 2028 Convertible Notes Indenture) occur, then the conversion rate will, in certain circumstances, be increased for a specified period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redeem the 2028 Convertible Notes at its option at any time before October 7, 2026. The 2028 Convertible Notes will be redeemable, in whole or in part (subject to the “Partial Redemption Limitation” (as defined in the 2028 Convertible Notes Indenture)), at the Company’s option at any time, and from time to time, on or after October 7, 2026 and on or before the 25th scheduled trading day immediately before the maturity date, but only if the last reported sale price per share of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exceeds 130 percent of the conversion price for a specified period of time and certain other conditions are satisfied. The redemption price will be equal to the principal amount of the 2028 Convertible Notes to be redeemed, plus accrued and unpaid interest, if any, to, but excluding, the redemption date. In addition, calling any 2028 Convertible Note for redemption will constitute a Make-Whole Fundamental Change with respect to that 2028 Convertible Note, in which case the conversion rate applicable to the conversion of that 2028 Convertible Note will be increased in certain circumstances if it is converted after it is called for redemption. Pursuant to the Partial Redemption Limitation, we may not elect to redeem less than all of the outstanding 2028 Convertible Notes unless at least $100.0 million aggregate principal amount of 2028 Convertible Notes are outstanding and not subject to redemption as of the time the Company sends the related redemption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certain corporate events that constitute a “Fundamental Change” (as defined in the 2028 Convertible Notes Indenture) occur, then, subject to a limited exception for certain cash mergers, noteholders may require the Company to repurchase their 2028 Convertible Notes at a cash repurchase price equal to the principal amount of the 2028 Convertible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2028 Convertible Notes have customary provisions relating to the occurrence of “Events of Default” (as defined in the 2028 Convertible Notes Indenture), which include the following: (i) certain payment defaults on the 2028 Convertible Notes (which, in the case of a default in the payment of interest on the 2028 Convertible Notes, will be subject to a 30-day cure period); (ii) the Company’s failure to send certain notices under the 2028 Convertible Notes Indenture within specified periods of time; (iii) the Company’s failure to comply with certain covenants in the 2028 Convertible Notes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other obligations or agreements under the 2028 Convertible Notes Indenture or the 2028 Convertible Notes if such default is not cured or waived within 60 days after notice is given in accordance with the 2028 Convertible Notes Indenture; (v) certain payment defaults on the Company’s credit facility if the Company has entered into the Security Documents (as defined in the 2028 Convertible Notes Indenture), (vi) certain defaults by the Company or any of its significant subsidiaries with respect to indebtedness for borrowed money of at least $20,000,000; and (vii) certain events of bankruptcy, insolvency and reorganization involving the Company or any of its significant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Event of Default involving bankruptcy, insolvency or reorganization events with respect to the Company (and not solely with respect to a significant subsidiary of the Company) occurs, then the principal amount of, and all accrued and unpaid interest on, all of the 2028 Convertible Notes then outstanding will immediately become due and payable without any further action or notice by any person. If any other Event of Default occurs and is continuing, then, the Trustee, by notice to the Company, or noteholders of at least 25 percent of the aggregate principal amount of 2028 Convertible Notes then outstanding, by notice to the Company and the trustee, may declare the principal amount of, and all accrued and unpaid interest on, all of the 2028 Convertible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2028 Convertible Notes for up to 180 days at a specified rate per annum not exceeding 0.50 percent on the principal amount of the 2028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2028 Convertible Notes Indenture contains a number of restrictive covenants and limitations, including restrictions on the Company’s ability to incur certain indebtedness, as further described in the Indenture. In addition, to the extent the Company incurs subordinated indebtedness pursuant to the terms of the Indenture, it will be required to secure the 2028 Convertible Notes, subject only to prior security interests in favor of lenders under any senior secured revolving credit facility, if then outstanding.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any off-balance sheet arrangements as of June 30, 2026 or as of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We also make estimates and assumptions on the reported revenue generated and reported expenses incurred during the reporting periods. Our estimates are based on our historical experience and on various other factors that we believe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reasonable under the circumstances. The results of these estimates form the basis for making judgments about the carrying value of assets and liabilities that are not readily apparent from other sources. Actual results may differ from these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critical accounting policies and estimates as compared to the critical accounting policies and estimates described in “Management’s Discussion and Analysis of Financial Condition and Results of Operations” set forth in our Annual Report. </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discussion of recent accounting pronouncements is included in Note 2 to our condensed consolidated financial statements included elsewhere 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5" w:name="item_3_quantitative_qualitative_disclosu"/>
      <w:bookmarkEnd w:id="15"/>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cash equivalents and restricted cash, consist primarily of interest-bearing accounts. Such interest-earning instruments carry a degree of interest rate risk. To minimize interest rate risk in the future, we intend to maintain our portfolio of cash equivalents in a variety of investment-grade securities, which may include commercial paper, money market funds, and government and non-government debt securities. Because of the short-term maturities of our cash, cash equivalents, restricted cash, and marketable securities, we do not believe that an increase in market rates would have any significant negative impact on the realized value of our investments. An immediate increase or decrease in interest rates of 100 basis points at June 30, 2026 could result in a $1.0 million market value reduction or increase of the same amount.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we issued the 2028 Convertible Notes with an aggregate principal amount of $150.0 million, the full amount of which is outstanding as of June 30, 2026. The 2028 Convertible Notes have a fixed interest rate of 7.50 percent; we do not face variable interest rate risk with respect to the 2028 Convertible Notes. The fair value of the 2028 Convertible Notes changes when the market price of our stock fluctuates or market interest rates change.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revenue and a majority of our expense and capital purchasing activities for the three months ended June 30, 2026 were transacted in U.S. dollars. As we continue our sales and operations internationally, we will be more exposed to changes in foreign exchange rates. Our international revenue is currently collected in U.S. dollars. In the future, we expect that our international sales will be primarily denominated in U.S. dollars. If we decide in the future to denominate international sales in currencies other than the U.S. dollar, unfavorable movement in the exchange rates between the U.S. dollar and the currencies in which we conduct foreign sales could have an adverse impact on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operating expenses are incurred outside the United States and are denominated in foreign currencies, which are subject to fluctuations due to changes in foreign currency exchange rates. In particular, in our Mexico, Australia and UK-based operations, we pay payroll and other expenses in Mexican pesos, Australian dollars and British pounds sterling, respectively.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hedge foreign currency exposure. We may in the future hedge our foreign currency exposure and may use currency forward contracts, currency options, and/or other common derivative financial instruments to reduce foreign currency risk. It is difficult to predict the effect future hedging activities would have on our operating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us to concentrations of credit risk consist of cash and cash equivalents, restricted cash, and accounts receivable. Our investment policy limits investments to high credit quality securities issued by the U.S. government, U.S. government-sponsored agencies, and highly rated corporate securities, subject to certain concentration limits and restrictions on maturities. Our cash and cash equivalents and restricted cash are held by financial institutions that management believes are of high credit quality. Amounts on deposit may at times exceed FDIC insured limits. We have not experienced any losses on our deposits of cash and cash equivalents, and accounts are monitored by management to mitigate risk. We are exposed to credit risk in the event of default by the financial institutions holding our cash and cash equivalents or an event of default by the issuers of the corporate debt securities we hold.</w:t>
      </w:r>
    </w:p>
    <w:p>
      <w:pPr>
        <w:pStyle w:val="TextBody"/>
        <w:bidi w:val="0"/>
        <w:jc w:val="left"/>
        <w:rPr/>
      </w:pPr>
      <w:r>
        <w:rPr/>
        <w:t> </w:t>
      </w:r>
    </w:p>
    <w:p>
      <w:pPr>
        <w:pStyle w:val="TextBody"/>
        <w:bidi w:val="0"/>
        <w:spacing w:before="160" w:after="283"/>
        <w:jc w:val="both"/>
        <w:rPr>
          <w:rFonts w:ascii="Times New Roman" w:hAnsi="Times New Roman"/>
          <w:b/>
          <w:color w:val="000000"/>
          <w:sz w:val="20"/>
        </w:rPr>
      </w:pPr>
      <w:bookmarkStart w:id="16" w:name="item_4_controls_procedures"/>
      <w:bookmarkEnd w:id="16"/>
      <w:r>
        <w:rPr>
          <w:rFonts w:ascii="Times New Roman" w:hAnsi="Times New Roman"/>
          <w:b/>
          <w:color w:val="000000"/>
          <w:sz w:val="20"/>
        </w:rPr>
        <w:t>Item 4. Controls and Procedures.</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under the direction of our Principal Executive Officer and Principal Financial Officer, we have evaluated the effectiveness of our disclosure controls and procedures, as defined in Rule 13a-15(e) under the Exchange Act. Based upon this evaluation, our Principal Executive Officer and Principal Financial Officer have concluded as of June 30, 2026, our disclosure controls and procedures were effective at such date.</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controls over financial reporting that occurred during the three month period ended June 30, 2026, that have materially affected, or are reasonably likely to materially affect, our internal control over financial reporting.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jc w:val="center"/>
        <w:rPr>
          <w:rFonts w:ascii="Times New Roman" w:hAnsi="Times New Roman"/>
          <w:b/>
          <w:color w:val="000000"/>
          <w:sz w:val="20"/>
        </w:rPr>
      </w:pPr>
      <w:bookmarkStart w:id="17" w:name="part_iior_information"/>
      <w:bookmarkEnd w:id="17"/>
      <w:r>
        <w:rPr>
          <w:rFonts w:ascii="Times New Roman" w:hAnsi="Times New Roman"/>
          <w:b/>
          <w:color w:val="000000"/>
          <w:sz w:val="20"/>
        </w:rPr>
        <w:t>PART II—OTHER INFORMATION</w:t>
      </w:r>
    </w:p>
    <w:p>
      <w:pPr>
        <w:pStyle w:val="TextBody"/>
        <w:bidi w:val="0"/>
        <w:spacing w:before="240" w:after="283"/>
        <w:jc w:val="both"/>
        <w:rPr>
          <w:rFonts w:ascii="Times New Roman" w:hAnsi="Times New Roman"/>
          <w:b/>
          <w:color w:val="000000"/>
          <w:sz w:val="20"/>
        </w:rPr>
      </w:pPr>
      <w:bookmarkStart w:id="18" w:name="item_1_legal_proceedings"/>
      <w:bookmarkEnd w:id="18"/>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litigation related to claims arising from the ordinary course of our business. The Company believes that there are no claims or actions pending or threatened against us, the ultimate disposition of which would have a material adverse effect on us.</w:t>
      </w:r>
    </w:p>
    <w:p>
      <w:pPr>
        <w:pStyle w:val="TextBody"/>
        <w:bidi w:val="0"/>
        <w:spacing w:before="360" w:after="283"/>
        <w:jc w:val="left"/>
        <w:rPr>
          <w:rFonts w:ascii="Times New Roman" w:hAnsi="Times New Roman"/>
          <w:b/>
          <w:color w:val="000000"/>
          <w:sz w:val="20"/>
        </w:rPr>
      </w:pPr>
      <w:bookmarkStart w:id="19" w:name="item_1a_risk_factors"/>
      <w:bookmarkEnd w:id="19"/>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set forth below, there are no material changes to our risk factors as previously disclosed in Part I, Item 1A of our Annual Report.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stockholder rights plan, or “poison pill,” includes terms and conditions that could discourage a takeover or other transaction that stockholders may consider favorable.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provide the Board with time to make informed decisions that are in the best long-term interests of the Company and its stockholders, on April 13, 2026, our Board adopted a stockholder rights plan, which could discourage, delay or prevent an acquisition of the Company at a premium price. The rights plan provides for preferred stock purchase rights attached to each share of our Common Stock, which will cause substantial dilution to a person or group acquiring 10% or more (or 20% or more in the case of a Passive Institutional Investor) of our stock if the acquisition is not approved by our Board of Directors. As a result, the overall effect of the rights plan may be to render more difficult or discourage a merger, tender or exchange offer or other business combination involving our Company that is not approved by the Board of Directors even if the offer may be considered beneficial by some stockholders. The rights will expire on April 12, 2027, unless earlier redeemed or exchanged by the Company.</w:t>
      </w:r>
    </w:p>
    <w:p>
      <w:pPr>
        <w:pStyle w:val="TextBody"/>
        <w:bidi w:val="0"/>
        <w:spacing w:before="240" w:after="283"/>
        <w:jc w:val="left"/>
        <w:rPr>
          <w:rFonts w:ascii="Times New Roman" w:hAnsi="Times New Roman"/>
          <w:sz w:val="20"/>
        </w:rPr>
      </w:pPr>
      <w:r>
        <w:rPr>
          <w:rFonts w:ascii="Times New Roman" w:hAnsi="Times New Roman"/>
          <w:b/>
          <w:i/>
          <w:color w:val="000000"/>
          <w:sz w:val="20"/>
        </w:rPr>
        <w:br/>
        <w:t>Our current operations are international in scope. We are subject to risks from geopolitical crises, such as the conflict between the United States, Israel and Iran and the Russian invasion of Ukraine.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the two most recent fiscal years, approximately 24 percent of our revenue has been generated from customers outside the United States. We currently have locations in the United States, Australia, the United Kingdom, and Ukraine. We are continuing to adapt and develop strategies to address international markets, but such efforts may not be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significant number of employees outside of the United States. We may face difficulties, including: geopolitical crises, such as the conflict between the United States, Israel and Iran, the Russian invasion of Ukraine, costs associated with developing software and providing support in many languages, varying seasonality patterns, potential adverse movement of currency exchange rates, longer payment cycles and difficulties in collecting accounts receivable, tariffs and trade barriers, a variety of regulatory or contractual limitations on our ability to operate, adverse tax events, reduced protection of intellectual property rights, and a geographically and culturally diverse workforce and customer base. Failure to overcome any of these difficulties could negatively affect our results of operations.</w:t>
      </w:r>
    </w:p>
    <w:p>
      <w:pPr>
        <w:pStyle w:val="TextBody"/>
        <w:bidi w:val="0"/>
        <w:spacing w:before="0" w:after="220"/>
        <w:jc w:val="both"/>
        <w:rPr/>
      </w:pPr>
      <w:r>
        <w:rPr/>
        <w:t> </w:t>
      </w:r>
    </w:p>
    <w:p>
      <w:pPr>
        <w:pStyle w:val="TextBody"/>
        <w:bidi w:val="0"/>
        <w:jc w:val="left"/>
        <w:rPr>
          <w:rFonts w:ascii="Times New Roman" w:hAnsi="Times New Roman"/>
          <w:b/>
          <w:color w:val="000000"/>
          <w:sz w:val="20"/>
        </w:rPr>
      </w:pPr>
      <w:bookmarkStart w:id="20" w:name="item2unregisteredsales"/>
      <w:bookmarkEnd w:id="20"/>
      <w:r>
        <w:rPr>
          <w:rFonts w:ascii="Times New Roman" w:hAnsi="Times New Roman"/>
          <w:b/>
          <w:color w:val="000000"/>
          <w:sz w:val="20"/>
        </w:rPr>
        <w:t>Item 2. Unregistered Sales of Equity Securities and Use of Proceeds</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Repurchases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bookmarkStart w:id="21" w:name="item3defaultsupon"/>
      <w:bookmarkEnd w:id="21"/>
      <w:r>
        <w:rPr>
          <w:rFonts w:ascii="Times New Roman" w:hAnsi="Times New Roman"/>
          <w:b/>
          <w:color w:val="000000"/>
          <w:sz w:val="20"/>
        </w:rPr>
        <w:t>Item 3. Defaults Upon Senior Securities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p>
      <w:pPr>
        <w:pStyle w:val="TextBody"/>
        <w:bidi w:val="0"/>
        <w:spacing w:before="160" w:after="283"/>
        <w:jc w:val="both"/>
        <w:rPr>
          <w:rFonts w:ascii="Times New Roman" w:hAnsi="Times New Roman"/>
          <w:b/>
          <w:color w:val="000000"/>
          <w:sz w:val="20"/>
        </w:rPr>
      </w:pPr>
      <w:bookmarkStart w:id="22" w:name="item4minesafety"/>
      <w:bookmarkEnd w:id="22"/>
      <w:r>
        <w:rPr>
          <w:rFonts w:ascii="Times New Roman" w:hAnsi="Times New Roman"/>
          <w:b/>
          <w:color w:val="000000"/>
          <w:sz w:val="20"/>
        </w:rPr>
        <w:t>Item 4. Mine Safety Disclosures</w:t>
      </w:r>
    </w:p>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160" w:after="283"/>
        <w:jc w:val="both"/>
        <w:rPr>
          <w:rFonts w:ascii="Times New Roman" w:hAnsi="Times New Roman"/>
          <w:b/>
          <w:color w:val="000000"/>
          <w:sz w:val="20"/>
        </w:rPr>
      </w:pPr>
      <w:bookmarkStart w:id="23" w:name="item5otherinfo"/>
      <w:bookmarkEnd w:id="23"/>
      <w:r>
        <w:rPr>
          <w:rFonts w:ascii="Times New Roman" w:hAnsi="Times New Roman"/>
          <w:b/>
          <w:color w:val="000000"/>
          <w:sz w:val="20"/>
        </w:rPr>
        <w:t>Item 5. Other Information</w:t>
      </w:r>
    </w:p>
    <w:p>
      <w:pPr>
        <w:pStyle w:val="TextBody"/>
        <w:bidi w:val="0"/>
        <w:spacing w:before="160" w:after="283"/>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w:t>
      </w:r>
    </w:p>
    <w:p>
      <w:pPr>
        <w:pStyle w:val="TextBody"/>
        <w:bidi w:val="0"/>
        <w:jc w:val="both"/>
        <w:rPr/>
      </w:pPr>
      <w:r>
        <w:rPr/>
        <w:t> </w:t>
      </w:r>
    </w:p>
    <w:p>
      <w:pPr>
        <w:pStyle w:val="TextBody"/>
        <w:bidi w:val="0"/>
        <w:jc w:val="both"/>
        <w:rPr>
          <w:rFonts w:ascii="Times New Roman" w:hAnsi="Times New Roman"/>
          <w:b/>
          <w:color w:val="000000"/>
          <w:sz w:val="20"/>
        </w:rPr>
      </w:pPr>
      <w:bookmarkStart w:id="24" w:name="item_6_exhibits"/>
      <w:bookmarkEnd w:id="24"/>
      <w:r>
        <w:rPr>
          <w:rFonts w:ascii="Times New Roman" w:hAnsi="Times New Roman"/>
          <w:b/>
          <w:color w:val="000000"/>
          <w:sz w:val="20"/>
        </w:rPr>
        <w:t>Item 6. Exhibits</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6"/>
        <w:gridCol w:w="6079"/>
        <w:gridCol w:w="586"/>
        <w:gridCol w:w="759"/>
        <w:gridCol w:w="736"/>
        <w:gridCol w:w="1026"/>
        <w:gridCol w:w="193"/>
      </w:tblGrid>
      <w:tr>
        <w:trPr/>
        <w:tc>
          <w:tcPr>
            <w:tcW w:w="826" w:type="dxa"/>
            <w:tcBorders/>
            <w:vAlign w:val="center"/>
          </w:tcPr>
          <w:p>
            <w:pPr>
              <w:pStyle w:val="TableContents"/>
              <w:bidi w:val="0"/>
              <w:spacing w:before="0" w:after="283"/>
              <w:jc w:val="left"/>
              <w:rPr>
                <w:sz w:val="4"/>
                <w:szCs w:val="4"/>
              </w:rPr>
            </w:pPr>
            <w:r>
              <w:rPr>
                <w:sz w:val="4"/>
                <w:szCs w:val="4"/>
              </w:rPr>
            </w:r>
          </w:p>
        </w:tc>
        <w:tc>
          <w:tcPr>
            <w:tcW w:w="60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60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07"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60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7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Effective Date</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07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Seventh Amended and Restated Certificate of Incorporation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001-39423</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2020</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607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Seventh Amended and Restated Certificate of Incorporation of the Registrant, as currently in effect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001-39423</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31, 2025</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w:t>
            </w:r>
          </w:p>
          <w:p>
            <w:pPr>
              <w:pStyle w:val="TableContents"/>
              <w:bidi w:val="0"/>
              <w:spacing w:before="0" w:after="283"/>
              <w:jc w:val="center"/>
              <w:rPr/>
            </w:pPr>
            <w:r>
              <w:rPr/>
              <w:t> </w:t>
            </w:r>
          </w:p>
        </w:tc>
        <w:tc>
          <w:tcPr>
            <w:tcW w:w="607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Third Amended and Restated Bylaws of the Registrant, as currently in effect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001-39423</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31, 2025</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3.4</w:t>
            </w:r>
          </w:p>
          <w:p>
            <w:pPr>
              <w:pStyle w:val="TableContents"/>
              <w:bidi w:val="0"/>
              <w:spacing w:before="0" w:after="283"/>
              <w:jc w:val="left"/>
              <w:rPr/>
            </w:pPr>
            <w:r>
              <w:rPr/>
              <w:t> </w:t>
            </w:r>
          </w:p>
        </w:tc>
        <w:tc>
          <w:tcPr>
            <w:tcW w:w="6079" w:type="dxa"/>
            <w:tcBorders/>
            <w:shd w:fill="FFFFFF" w:val="clear"/>
            <w:tcMar>
              <w:top w:w="0" w:type="dxa"/>
              <w:left w:w="0" w:type="dxa"/>
              <w:bottom w:w="0" w:type="dxa"/>
              <w:right w:w="0" w:type="dxa"/>
            </w:tcMar>
            <w:vAlign w:val="center"/>
          </w:tcPr>
          <w:p>
            <w:pPr>
              <w:pStyle w:val="TableContents"/>
              <w:bidi w:val="0"/>
              <w:jc w:val="left"/>
              <w:rPr/>
            </w:pPr>
            <w:hyperlink r:id="rId5">
              <w:r>
                <w:rPr>
                  <w:rStyle w:val="InternetLink"/>
                  <w:rFonts w:ascii="Times New Roman" w:hAnsi="Times New Roman"/>
                  <w:color w:val="0000FF"/>
                  <w:sz w:val="20"/>
                  <w:u w:val="single"/>
                </w:rPr>
                <w:t>Certificate of Designations of Series A Junior Participating Preferred Stock of Commerce.com, Inc., filed with the Secretary of State of the State of Delaware on April 14, 2026.</w:t>
              </w:r>
            </w:hyperlink>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001-39423</w:t>
            </w:r>
          </w:p>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10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April 13, 2026</w:t>
            </w:r>
          </w:p>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igc-ex31_1.htm">
              <w:r>
                <w:rPr>
                  <w:rStyle w:val="InternetLink"/>
                  <w:rFonts w:ascii="Times New Roman" w:hAnsi="Times New Roman"/>
                  <w:color w:val="0000FF"/>
                  <w:sz w:val="20"/>
                  <w:u w:val="single"/>
                </w:rPr>
                <w:t>Certification of Principal Executive Officer pursuant to Exchange Act Rules 13a-14(a) and 15d-14(a),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igc-ex31_2.htm">
              <w:r>
                <w:rPr>
                  <w:rStyle w:val="InternetLink"/>
                  <w:rFonts w:ascii="Times New Roman" w:hAnsi="Times New Roman"/>
                  <w:color w:val="0000FF"/>
                  <w:sz w:val="20"/>
                  <w:u w:val="single"/>
                </w:rPr>
                <w:t>Certification of Principal Financial Officer pursuant to Exchange Act Rules 13a-14(a) and 15d-14(a),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igc-ex32_1.htm">
              <w:r>
                <w:rPr>
                  <w:rStyle w:val="InternetLink"/>
                  <w:rFonts w:ascii="Times New Roman" w:hAnsi="Times New Roman"/>
                  <w:color w:val="0000FF"/>
                  <w:sz w:val="20"/>
                  <w:u w:val="single"/>
                </w:rPr>
                <w:t>Certification of Principal Executive Officer and Principal Financial Officer Pursuant to 18 U.S.C. Section 1350c,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Linkbases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certifications attached as Exhibit 32.1 that accompanies this Quarterly Report on Form 10-Q is deemed furnished and not filed with the Securities and Exchange Commission and is not to be incorporated by reference into any filing of Commerce.com, Inc. under the Securities Act of 1933, as amended, or the Securities Exchange Act of 1934, as amended,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hyperlink w:anchor="toc_page">
        <w:r>
          <w:rPr>
            <w:rStyle w:val="InternetLink"/>
            <w:rFonts w:ascii="Times New Roman" w:hAnsi="Times New Roman"/>
            <w:color w:val="0000FF"/>
            <w:sz w:val="20"/>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9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whether made before or after the date of this Quarterly Report on Form 10-Q, irrespective of any general incorporation language contained in such filing.</w:t>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Pursuant to Item 601(a)(5) of Regulation S-K promulgated by the SEC, certain exhibits and schedules to this agreement have been omitted. We hereby agree to furnish supplementally to the SEC, upon its request, any or all of such omitted exhibits or schedules.</w:t>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40" w:after="283"/>
        <w:jc w:val="left"/>
        <w:rPr/>
      </w:pPr>
      <w:r>
        <w:rPr/>
        <w:t> </w:t>
      </w:r>
    </w:p>
    <w:p>
      <w:pPr>
        <w:pStyle w:val="TextBody"/>
        <w:bidi w:val="0"/>
        <w:jc w:val="center"/>
        <w:rPr>
          <w:rFonts w:ascii="Times New Roman" w:hAnsi="Times New Roman"/>
          <w:sz w:val="20"/>
        </w:rPr>
      </w:pPr>
      <w:bookmarkStart w:id="25" w:name="signatures"/>
      <w:bookmarkEnd w:id="25"/>
      <w:r>
        <w:rPr>
          <w:rFonts w:ascii="Times New Roman" w:hAnsi="Times New Roman"/>
          <w:b/>
          <w:color w:val="000000"/>
          <w:sz w:val="20"/>
        </w:rPr>
        <w:t>SIGNA</w:t>
      </w:r>
      <w:bookmarkStart w:id="26" w:name="signatures_1"/>
      <w:bookmarkEnd w:id="26"/>
      <w:r>
        <w:rPr>
          <w:rFonts w:ascii="Times New Roman" w:hAnsi="Times New Roman"/>
          <w:b/>
          <w:color w:val="000000"/>
          <w:sz w:val="20"/>
        </w:rPr>
        <w:t>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974" w:type="dxa"/>
        <w:jc w:val="left"/>
        <w:tblInd w:w="0" w:type="dxa"/>
        <w:tblLayout w:type="fixed"/>
        <w:tblCellMar>
          <w:top w:w="28" w:type="dxa"/>
          <w:left w:w="28" w:type="dxa"/>
          <w:bottom w:w="28" w:type="dxa"/>
          <w:right w:w="28" w:type="dxa"/>
        </w:tblCellMar>
      </w:tblPr>
      <w:tblGrid>
        <w:gridCol w:w="1846"/>
        <w:gridCol w:w="146"/>
        <w:gridCol w:w="406"/>
        <w:gridCol w:w="45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Commerce.com, Inc.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Lentz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Lentz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Chief Financial Officer and Chief Operating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(Principal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Hubert Ban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Hubert Ban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Senior Vice President, Chief Accounting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bookmarkStart w:id="27" w:name="bigc-ex31_1.htm"/>
      <w:bookmarkStart w:id="28" w:name="ksbigc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Travis Hess,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Commerce.com,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1846"/>
        <w:gridCol w:w="109"/>
        <w:gridCol w:w="406"/>
        <w:gridCol w:w="253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Travis Hess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Travis Hess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bigc-ex31_2.htm"/>
      <w:bookmarkStart w:id="30" w:name="ksbigcex31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Daniel Lentz,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Commerce.com,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877" w:type="dxa"/>
        <w:jc w:val="left"/>
        <w:tblInd w:w="0" w:type="dxa"/>
        <w:tblLayout w:type="fixed"/>
        <w:tblCellMar>
          <w:top w:w="28" w:type="dxa"/>
          <w:left w:w="28" w:type="dxa"/>
          <w:bottom w:w="28" w:type="dxa"/>
          <w:right w:w="28" w:type="dxa"/>
        </w:tblCellMar>
      </w:tblPr>
      <w:tblGrid>
        <w:gridCol w:w="1846"/>
        <w:gridCol w:w="109"/>
        <w:gridCol w:w="406"/>
        <w:gridCol w:w="45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Lentz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Lentz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Chief Operating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bigc-ex32_1.htm"/>
      <w:bookmarkStart w:id="32" w:name="ksbigc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Commerce.com, Inc. (the “Company”) on Form 10-Q for the period ending June 30, 2026, as filed with the Securities and Exchange Commission on the date hereof (the “Report”), each of the undersigned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7057" w:type="dxa"/>
        <w:jc w:val="left"/>
        <w:tblInd w:w="0" w:type="dxa"/>
        <w:tblLayout w:type="fixed"/>
        <w:tblCellMar>
          <w:top w:w="28" w:type="dxa"/>
          <w:left w:w="28" w:type="dxa"/>
          <w:bottom w:w="28" w:type="dxa"/>
          <w:right w:w="28" w:type="dxa"/>
        </w:tblCellMar>
      </w:tblPr>
      <w:tblGrid>
        <w:gridCol w:w="1846"/>
        <w:gridCol w:w="109"/>
        <w:gridCol w:w="586"/>
        <w:gridCol w:w="45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45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Travis Hess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Travis Hess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45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Lentz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Lentz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Chief Operating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6450/000119312520213268/d36879dex31.htm" TargetMode="External"/><Relationship Id="rId3" Type="http://schemas.openxmlformats.org/officeDocument/2006/relationships/hyperlink" Target="https://www.sec.gov/Archives/edgar/data/1626450/000095017025100556/bigc-ex3_1.htm" TargetMode="External"/><Relationship Id="rId4" Type="http://schemas.openxmlformats.org/officeDocument/2006/relationships/hyperlink" Target="https://www.sec.gov/Archives/edgar/data/1626450/000095017025100556/bigc-ex3_2.htm" TargetMode="External"/><Relationship Id="rId5" Type="http://schemas.openxmlformats.org/officeDocument/2006/relationships/hyperlink" Target="https://www.sec.gov/Archives/edgar/data/0001626450/000119312526154879/d565968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23630</Words>
  <Characters>131547</Characters>
  <CharactersWithSpaces>156461</CharactersWithSpaces>
  <Paragraphs>7344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